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A1" w:rsidRDefault="00E014F1" w:rsidP="00077AD9">
      <w:pPr>
        <w:autoSpaceDE w:val="0"/>
        <w:autoSpaceDN w:val="0"/>
        <w:adjustRightInd w:val="0"/>
        <w:jc w:val="right"/>
        <w:rPr>
          <w:rFonts w:ascii="Arial" w:hAnsi="Arial" w:cs="Arial"/>
        </w:rPr>
      </w:pPr>
      <w:r>
        <w:rPr>
          <w:noProof/>
          <w:color w:val="17365D"/>
          <w:sz w:val="16"/>
          <w:szCs w:val="16"/>
          <w:lang w:eastAsia="en-CA"/>
        </w:rPr>
        <w:drawing>
          <wp:inline distT="0" distB="0" distL="0" distR="0">
            <wp:extent cx="3028950" cy="876300"/>
            <wp:effectExtent l="19050" t="0" r="0" b="0"/>
            <wp:docPr id="1" name="Picture 1" descr="MBABC2008Logo_H_Full_CMYK_ra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BC2008Logo_H_Full_CMYK_raster.tif"/>
                    <pic:cNvPicPr>
                      <a:picLocks noChangeAspect="1" noChangeArrowheads="1"/>
                    </pic:cNvPicPr>
                  </pic:nvPicPr>
                  <pic:blipFill>
                    <a:blip r:embed="rId8" cstate="print"/>
                    <a:srcRect/>
                    <a:stretch>
                      <a:fillRect/>
                    </a:stretch>
                  </pic:blipFill>
                  <pic:spPr bwMode="auto">
                    <a:xfrm>
                      <a:off x="0" y="0"/>
                      <a:ext cx="3028950" cy="876300"/>
                    </a:xfrm>
                    <a:prstGeom prst="rect">
                      <a:avLst/>
                    </a:prstGeom>
                    <a:noFill/>
                    <a:ln w="9525">
                      <a:noFill/>
                      <a:miter lim="800000"/>
                      <a:headEnd/>
                      <a:tailEnd/>
                    </a:ln>
                  </pic:spPr>
                </pic:pic>
              </a:graphicData>
            </a:graphic>
          </wp:inline>
        </w:drawing>
      </w:r>
    </w:p>
    <w:p w:rsidR="00DF74A1" w:rsidRDefault="00DF74A1" w:rsidP="00AE2DC1">
      <w:pPr>
        <w:autoSpaceDE w:val="0"/>
        <w:autoSpaceDN w:val="0"/>
        <w:adjustRightInd w:val="0"/>
        <w:spacing w:after="0"/>
        <w:jc w:val="right"/>
        <w:rPr>
          <w:rFonts w:ascii="Arial" w:hAnsi="Arial" w:cs="Arial"/>
        </w:rPr>
      </w:pPr>
    </w:p>
    <w:p w:rsidR="002C02DB" w:rsidRPr="002C02DB" w:rsidRDefault="002C02DB" w:rsidP="003D631B">
      <w:pPr>
        <w:spacing w:after="0" w:line="0" w:lineRule="atLeast"/>
        <w:rPr>
          <w:rFonts w:ascii="Arial" w:hAnsi="Arial" w:cs="Arial"/>
          <w:lang w:val="en-US"/>
        </w:rPr>
      </w:pPr>
      <w:r w:rsidRPr="002C02DB">
        <w:rPr>
          <w:rFonts w:ascii="Arial" w:hAnsi="Arial" w:cs="Arial"/>
          <w:lang w:val="en-GB"/>
        </w:rPr>
        <w:t>Financial and Corporate Sector Policy Branch</w:t>
      </w:r>
    </w:p>
    <w:p w:rsidR="002C02DB" w:rsidRPr="002C02DB" w:rsidRDefault="002C02DB" w:rsidP="003D631B">
      <w:pPr>
        <w:spacing w:after="0" w:line="0" w:lineRule="atLeast"/>
        <w:rPr>
          <w:rFonts w:ascii="Arial" w:hAnsi="Arial" w:cs="Arial"/>
          <w:lang w:val="en-US"/>
        </w:rPr>
      </w:pPr>
      <w:r w:rsidRPr="002C02DB">
        <w:rPr>
          <w:rFonts w:ascii="Arial" w:hAnsi="Arial" w:cs="Arial"/>
          <w:lang w:val="en-GB"/>
        </w:rPr>
        <w:t>Ministry of Finance</w:t>
      </w:r>
    </w:p>
    <w:p w:rsidR="002C02DB" w:rsidRPr="002C02DB" w:rsidRDefault="002C02DB" w:rsidP="003D631B">
      <w:pPr>
        <w:spacing w:after="0" w:line="0" w:lineRule="atLeast"/>
        <w:rPr>
          <w:rFonts w:ascii="Arial" w:hAnsi="Arial" w:cs="Arial"/>
          <w:lang w:val="en-US"/>
        </w:rPr>
      </w:pPr>
      <w:r w:rsidRPr="002C02DB">
        <w:rPr>
          <w:rFonts w:ascii="Arial" w:hAnsi="Arial" w:cs="Arial"/>
          <w:lang w:val="en-GB"/>
        </w:rPr>
        <w:t>PO Box 9418 Stn Prov Govt</w:t>
      </w:r>
    </w:p>
    <w:p w:rsidR="002C02DB" w:rsidRPr="002C02DB" w:rsidRDefault="002C02DB" w:rsidP="003D631B">
      <w:pPr>
        <w:spacing w:after="0" w:line="0" w:lineRule="atLeast"/>
        <w:rPr>
          <w:rFonts w:ascii="Arial" w:hAnsi="Arial" w:cs="Arial"/>
          <w:lang w:val="en-US"/>
        </w:rPr>
      </w:pPr>
      <w:r w:rsidRPr="002C02DB">
        <w:rPr>
          <w:rFonts w:ascii="Arial" w:hAnsi="Arial" w:cs="Arial"/>
          <w:lang w:val="en-GB"/>
        </w:rPr>
        <w:t>Victoria, B.C. V8W 9V1</w:t>
      </w:r>
    </w:p>
    <w:p w:rsidR="002C02DB" w:rsidRPr="002C02DB" w:rsidRDefault="002C02DB" w:rsidP="003D631B">
      <w:pPr>
        <w:spacing w:after="0" w:line="0" w:lineRule="atLeast"/>
        <w:rPr>
          <w:rFonts w:ascii="Arial" w:eastAsia="Calibri" w:hAnsi="Arial" w:cs="Arial"/>
          <w:lang w:val="en-US"/>
        </w:rPr>
      </w:pPr>
      <w:r w:rsidRPr="002C02DB">
        <w:rPr>
          <w:rFonts w:ascii="Arial" w:eastAsia="Calibri" w:hAnsi="Arial" w:cs="Arial"/>
          <w:b/>
          <w:bCs/>
          <w:i/>
          <w:iCs/>
          <w:lang w:val="en-US"/>
        </w:rPr>
        <w:t>E-</w:t>
      </w:r>
      <w:r>
        <w:rPr>
          <w:rFonts w:ascii="Arial" w:eastAsia="Calibri" w:hAnsi="Arial" w:cs="Arial"/>
          <w:b/>
          <w:bCs/>
          <w:i/>
          <w:iCs/>
          <w:lang w:val="en-US"/>
        </w:rPr>
        <w:t xml:space="preserve">mail </w:t>
      </w:r>
      <w:r>
        <w:rPr>
          <w:rFonts w:ascii="Arial" w:eastAsia="Calibri" w:hAnsi="Arial" w:cs="Arial"/>
          <w:bCs/>
          <w:iCs/>
          <w:lang w:val="en-US"/>
        </w:rPr>
        <w:t>fcsp@gov.bc.ca</w:t>
      </w:r>
    </w:p>
    <w:p w:rsidR="002C02DB" w:rsidRPr="002C02DB" w:rsidRDefault="002C02DB" w:rsidP="002C02DB">
      <w:pPr>
        <w:rPr>
          <w:rFonts w:ascii="Arial" w:eastAsia="Calibri" w:hAnsi="Arial" w:cs="Arial"/>
          <w:lang w:val="en-US"/>
        </w:rPr>
      </w:pPr>
    </w:p>
    <w:p w:rsidR="002C02DB" w:rsidRPr="002C02DB" w:rsidRDefault="002C02DB" w:rsidP="003D631B">
      <w:pPr>
        <w:jc w:val="right"/>
        <w:rPr>
          <w:rFonts w:ascii="Arial" w:eastAsia="Calibri" w:hAnsi="Arial" w:cs="Arial"/>
          <w:lang w:val="en-US"/>
        </w:rPr>
      </w:pPr>
      <w:r>
        <w:rPr>
          <w:rFonts w:ascii="Arial" w:eastAsia="Calibri" w:hAnsi="Arial" w:cs="Arial"/>
          <w:lang w:val="en-US"/>
        </w:rPr>
        <w:t>December 11, 2012</w:t>
      </w:r>
    </w:p>
    <w:p w:rsidR="007A3761" w:rsidRDefault="007A3761" w:rsidP="002C02DB">
      <w:pPr>
        <w:jc w:val="left"/>
        <w:rPr>
          <w:rFonts w:ascii="Arial" w:eastAsia="Calibri" w:hAnsi="Arial" w:cs="Arial"/>
          <w:lang w:val="en-US"/>
        </w:rPr>
      </w:pPr>
    </w:p>
    <w:p w:rsidR="00DF74A1" w:rsidRDefault="002C02DB" w:rsidP="002C02DB">
      <w:pPr>
        <w:jc w:val="left"/>
        <w:rPr>
          <w:rFonts w:ascii="Arial" w:hAnsi="Arial" w:cs="Arial"/>
        </w:rPr>
      </w:pPr>
      <w:r>
        <w:rPr>
          <w:rFonts w:ascii="Arial" w:eastAsia="Calibri" w:hAnsi="Arial" w:cs="Arial"/>
          <w:lang w:val="en-US"/>
        </w:rPr>
        <w:t>Dear Ministry Staff,</w:t>
      </w:r>
    </w:p>
    <w:p w:rsidR="007A3761" w:rsidRDefault="007A3761" w:rsidP="000A1682">
      <w:pPr>
        <w:shd w:val="clear" w:color="auto" w:fill="FFFFFF"/>
        <w:rPr>
          <w:rFonts w:ascii="Arial" w:hAnsi="Arial" w:cs="Arial"/>
          <w:b/>
          <w:u w:val="single"/>
          <w:lang w:val="en-US"/>
        </w:rPr>
      </w:pPr>
    </w:p>
    <w:p w:rsidR="000A1682" w:rsidRPr="000A1682" w:rsidRDefault="003D631B" w:rsidP="000A1682">
      <w:pPr>
        <w:shd w:val="clear" w:color="auto" w:fill="FFFFFF"/>
        <w:rPr>
          <w:rFonts w:ascii="Arial" w:hAnsi="Arial" w:cs="Arial"/>
          <w:b/>
          <w:u w:val="single"/>
          <w:lang w:val="en-US"/>
        </w:rPr>
      </w:pPr>
      <w:r>
        <w:rPr>
          <w:rFonts w:ascii="Arial" w:hAnsi="Arial" w:cs="Arial"/>
          <w:b/>
          <w:u w:val="single"/>
          <w:lang w:val="en-US"/>
        </w:rPr>
        <w:t>Submissions Re:</w:t>
      </w:r>
      <w:r w:rsidR="000A1682" w:rsidRPr="000A1682">
        <w:rPr>
          <w:rFonts w:ascii="Arial" w:hAnsi="Arial" w:cs="Arial"/>
          <w:b/>
          <w:u w:val="single"/>
          <w:lang w:val="en-US"/>
        </w:rPr>
        <w:t xml:space="preserve"> the Mortgage Brokers Act – Personal Mortgage Broker Corporations</w:t>
      </w:r>
    </w:p>
    <w:p w:rsidR="002C02DB" w:rsidRDefault="002C02DB" w:rsidP="002C02DB">
      <w:pPr>
        <w:rPr>
          <w:rFonts w:ascii="Arial" w:eastAsia="Calibri" w:hAnsi="Arial" w:cs="Arial"/>
          <w:lang w:val="en-US"/>
        </w:rPr>
      </w:pPr>
      <w:r w:rsidRPr="002C02DB">
        <w:rPr>
          <w:rFonts w:ascii="Arial" w:eastAsia="Calibri" w:hAnsi="Arial" w:cs="Arial"/>
          <w:lang w:val="en-US"/>
        </w:rPr>
        <w:t>On behalf of the Mortgage Brokers Association of BC (MBABC) and the Mortgage Brokers Institute of BC (MBIBC), I would like to</w:t>
      </w:r>
      <w:r>
        <w:rPr>
          <w:rFonts w:ascii="Arial" w:eastAsia="Calibri" w:hAnsi="Arial" w:cs="Arial"/>
          <w:lang w:val="en-US"/>
        </w:rPr>
        <w:t xml:space="preserve"> make submissions on changes to the </w:t>
      </w:r>
      <w:r w:rsidRPr="00AE2DC1">
        <w:rPr>
          <w:rFonts w:ascii="Arial" w:eastAsia="Calibri" w:hAnsi="Arial" w:cs="Arial"/>
          <w:i/>
          <w:lang w:val="en-US"/>
        </w:rPr>
        <w:t>Mortgage Brokers Act</w:t>
      </w:r>
      <w:r>
        <w:rPr>
          <w:rFonts w:ascii="Arial" w:eastAsia="Calibri" w:hAnsi="Arial" w:cs="Arial"/>
          <w:lang w:val="en-US"/>
        </w:rPr>
        <w:t xml:space="preserve"> </w:t>
      </w:r>
      <w:r w:rsidR="00AE2DC1">
        <w:rPr>
          <w:rFonts w:ascii="Arial" w:eastAsia="Calibri" w:hAnsi="Arial" w:cs="Arial"/>
          <w:lang w:val="en-US"/>
        </w:rPr>
        <w:t xml:space="preserve">(the Act) </w:t>
      </w:r>
      <w:r>
        <w:rPr>
          <w:rFonts w:ascii="Arial" w:eastAsia="Calibri" w:hAnsi="Arial" w:cs="Arial"/>
          <w:lang w:val="en-US"/>
        </w:rPr>
        <w:t>concerning personal mortgage broker corporations.</w:t>
      </w:r>
    </w:p>
    <w:p w:rsidR="002C02DB" w:rsidRPr="002C02DB" w:rsidRDefault="003D631B" w:rsidP="002C02DB">
      <w:pPr>
        <w:rPr>
          <w:rFonts w:ascii="Arial" w:eastAsia="Calibri" w:hAnsi="Arial" w:cs="Arial"/>
          <w:lang w:val="en-US"/>
        </w:rPr>
      </w:pPr>
      <w:r>
        <w:rPr>
          <w:rFonts w:ascii="Arial" w:eastAsia="Calibri" w:hAnsi="Arial" w:cs="Arial"/>
          <w:lang w:val="en-US"/>
        </w:rPr>
        <w:t>By way of background, t</w:t>
      </w:r>
      <w:r w:rsidR="002C02DB" w:rsidRPr="002C02DB">
        <w:rPr>
          <w:rFonts w:ascii="Arial" w:eastAsia="Calibri" w:hAnsi="Arial" w:cs="Arial"/>
          <w:lang w:val="en-US"/>
        </w:rPr>
        <w:t>he MBABC is a 20 year old professional association which represents over 1600 mortgage professionals in British Columbia. The MBIBC is a non-profit organization which creates specialized mortgage industry education, which has been approved for relicensing qualification by FICOM.</w:t>
      </w:r>
    </w:p>
    <w:p w:rsidR="000A1682" w:rsidRPr="000A1682" w:rsidRDefault="000A1682" w:rsidP="000A1682">
      <w:pPr>
        <w:shd w:val="clear" w:color="auto" w:fill="FFFFFF"/>
        <w:rPr>
          <w:rFonts w:ascii="Arial" w:hAnsi="Arial" w:cs="Arial"/>
          <w:u w:val="single"/>
          <w:lang w:val="en-US"/>
        </w:rPr>
      </w:pPr>
      <w:r w:rsidRPr="000A1682">
        <w:rPr>
          <w:rFonts w:ascii="Arial" w:hAnsi="Arial" w:cs="Arial"/>
          <w:u w:val="single"/>
          <w:lang w:val="en-US"/>
        </w:rPr>
        <w:t>Current Legislation</w:t>
      </w:r>
    </w:p>
    <w:p w:rsidR="00274975" w:rsidRDefault="00274975" w:rsidP="000A1682">
      <w:pPr>
        <w:shd w:val="clear" w:color="auto" w:fill="FFFFFF"/>
        <w:rPr>
          <w:rFonts w:ascii="Arial" w:hAnsi="Arial" w:cs="Arial"/>
          <w:lang w:val="en-US"/>
        </w:rPr>
      </w:pPr>
      <w:r>
        <w:rPr>
          <w:rFonts w:ascii="Arial" w:hAnsi="Arial" w:cs="Arial"/>
          <w:lang w:val="en-US"/>
        </w:rPr>
        <w:t>The</w:t>
      </w:r>
      <w:r w:rsidR="000A1682" w:rsidRPr="000A1682">
        <w:rPr>
          <w:rFonts w:ascii="Arial" w:hAnsi="Arial" w:cs="Arial"/>
          <w:lang w:val="en-US"/>
        </w:rPr>
        <w:t xml:space="preserve"> </w:t>
      </w:r>
      <w:r w:rsidR="00AE2DC1">
        <w:rPr>
          <w:rFonts w:ascii="Arial" w:hAnsi="Arial" w:cs="Arial"/>
          <w:lang w:val="en-US"/>
        </w:rPr>
        <w:t>Act</w:t>
      </w:r>
      <w:r w:rsidR="000A1682" w:rsidRPr="000A1682">
        <w:rPr>
          <w:rFonts w:ascii="Arial" w:hAnsi="Arial" w:cs="Arial"/>
          <w:lang w:val="en-US"/>
        </w:rPr>
        <w:t xml:space="preserve"> does not </w:t>
      </w:r>
      <w:r>
        <w:rPr>
          <w:rFonts w:ascii="Arial" w:hAnsi="Arial" w:cs="Arial"/>
          <w:lang w:val="en-US"/>
        </w:rPr>
        <w:t>directly</w:t>
      </w:r>
      <w:r w:rsidR="000A1682" w:rsidRPr="000A1682">
        <w:rPr>
          <w:rFonts w:ascii="Arial" w:hAnsi="Arial" w:cs="Arial"/>
          <w:lang w:val="en-US"/>
        </w:rPr>
        <w:t xml:space="preserve"> enable </w:t>
      </w:r>
      <w:r>
        <w:rPr>
          <w:rFonts w:ascii="Arial" w:hAnsi="Arial" w:cs="Arial"/>
          <w:lang w:val="en-US"/>
        </w:rPr>
        <w:t xml:space="preserve">individual </w:t>
      </w:r>
      <w:r w:rsidR="000A1682" w:rsidRPr="000A1682">
        <w:rPr>
          <w:rFonts w:ascii="Arial" w:hAnsi="Arial" w:cs="Arial"/>
          <w:lang w:val="en-US"/>
        </w:rPr>
        <w:t>submortgage brokers to</w:t>
      </w:r>
      <w:r>
        <w:rPr>
          <w:rFonts w:ascii="Arial" w:hAnsi="Arial" w:cs="Arial"/>
          <w:lang w:val="en-US"/>
        </w:rPr>
        <w:t xml:space="preserve"> collect broker earnings through a corporation</w:t>
      </w:r>
      <w:r w:rsidR="000A1682" w:rsidRPr="000A1682">
        <w:rPr>
          <w:rFonts w:ascii="Arial" w:hAnsi="Arial" w:cs="Arial"/>
          <w:lang w:val="en-US"/>
        </w:rPr>
        <w:t xml:space="preserve"> in order</w:t>
      </w:r>
      <w:r>
        <w:rPr>
          <w:rFonts w:ascii="Arial" w:hAnsi="Arial" w:cs="Arial"/>
          <w:lang w:val="en-US"/>
        </w:rPr>
        <w:t xml:space="preserve"> to</w:t>
      </w:r>
      <w:r w:rsidR="000A1682" w:rsidRPr="000A1682">
        <w:rPr>
          <w:rFonts w:ascii="Arial" w:hAnsi="Arial" w:cs="Arial"/>
          <w:lang w:val="en-US"/>
        </w:rPr>
        <w:t xml:space="preserve"> split income for tax purposes or defer the payment of taxes</w:t>
      </w:r>
      <w:r>
        <w:rPr>
          <w:rFonts w:ascii="Arial" w:hAnsi="Arial" w:cs="Arial"/>
          <w:lang w:val="en-US"/>
        </w:rPr>
        <w:t xml:space="preserve">. </w:t>
      </w:r>
    </w:p>
    <w:p w:rsidR="000A1682" w:rsidRPr="000A1682" w:rsidRDefault="000A1682" w:rsidP="000A1682">
      <w:pPr>
        <w:shd w:val="clear" w:color="auto" w:fill="FFFFFF"/>
        <w:rPr>
          <w:rFonts w:ascii="Arial" w:eastAsia="Calibri" w:hAnsi="Arial" w:cs="Arial"/>
          <w:lang w:val="en-US"/>
        </w:rPr>
      </w:pPr>
      <w:r w:rsidRPr="000A1682">
        <w:rPr>
          <w:rFonts w:ascii="Arial" w:hAnsi="Arial" w:cs="Arial"/>
          <w:lang w:val="en-US"/>
        </w:rPr>
        <w:t>Submortgage broker is defined in section 1 of the Act to mean “</w:t>
      </w:r>
      <w:r w:rsidRPr="000A1682">
        <w:rPr>
          <w:rFonts w:ascii="Arial" w:eastAsia="Calibri" w:hAnsi="Arial" w:cs="Arial"/>
          <w:lang w:val="en-US"/>
        </w:rPr>
        <w:t xml:space="preserve">any person who, in British Columbia, actively engages in any of the things referred to in the definition of mortgage broker and </w:t>
      </w:r>
      <w:r w:rsidRPr="000A1682">
        <w:rPr>
          <w:rFonts w:ascii="Arial" w:eastAsia="Calibri" w:hAnsi="Arial" w:cs="Arial"/>
          <w:b/>
          <w:lang w:val="en-US"/>
        </w:rPr>
        <w:t>is employed</w:t>
      </w:r>
      <w:r w:rsidRPr="000A1682">
        <w:rPr>
          <w:rFonts w:ascii="Arial" w:eastAsia="Calibri" w:hAnsi="Arial" w:cs="Arial"/>
          <w:lang w:val="en-US"/>
        </w:rPr>
        <w:t xml:space="preserve">, either generally or in a particular case, by, or is a </w:t>
      </w:r>
      <w:r w:rsidRPr="000A1682">
        <w:rPr>
          <w:rFonts w:ascii="Arial" w:eastAsia="Calibri" w:hAnsi="Arial" w:cs="Arial"/>
          <w:b/>
          <w:lang w:val="en-US"/>
        </w:rPr>
        <w:lastRenderedPageBreak/>
        <w:t>director or a partner of, a mortgage broker</w:t>
      </w:r>
      <w:r w:rsidRPr="000A1682">
        <w:rPr>
          <w:rFonts w:ascii="Arial" w:eastAsia="Calibri" w:hAnsi="Arial" w:cs="Arial"/>
          <w:lang w:val="en-US"/>
        </w:rPr>
        <w:t>”. Submortgage brokers are therefore employed by mortgage brokers, essentially meaning that they are employees, who must be natural persons with social insurance numbers and not corporations.  However, the second part of the definition of submortgage broker contemplates that a submortgage broker may be a partner of a mortgage broker.  Under common law in British Columbia, a partner of a mortg</w:t>
      </w:r>
      <w:r w:rsidR="003D631B">
        <w:rPr>
          <w:rFonts w:ascii="Arial" w:eastAsia="Calibri" w:hAnsi="Arial" w:cs="Arial"/>
          <w:lang w:val="en-US"/>
        </w:rPr>
        <w:t>age b</w:t>
      </w:r>
      <w:r w:rsidR="00DC212B">
        <w:rPr>
          <w:rFonts w:ascii="Arial" w:eastAsia="Calibri" w:hAnsi="Arial" w:cs="Arial"/>
          <w:lang w:val="en-US"/>
        </w:rPr>
        <w:t xml:space="preserve">roker may be a corporation - </w:t>
      </w:r>
      <w:r w:rsidR="003D631B">
        <w:rPr>
          <w:rFonts w:ascii="Arial" w:eastAsia="Calibri" w:hAnsi="Arial" w:cs="Arial"/>
          <w:lang w:val="en-US"/>
        </w:rPr>
        <w:t>the Act thereby</w:t>
      </w:r>
      <w:r w:rsidRPr="000A1682">
        <w:rPr>
          <w:rFonts w:ascii="Arial" w:eastAsia="Calibri" w:hAnsi="Arial" w:cs="Arial"/>
          <w:lang w:val="en-US"/>
        </w:rPr>
        <w:t xml:space="preserve"> contemplates the registration of corporations as submortgage brokers.  However, nearly all relationships that submortgage brokers will have with their sponsoring mortgage broker will not be that of partner in a formal partnership arrangement, but rather the more traditional relationship of </w:t>
      </w:r>
      <w:r w:rsidR="00182A6C">
        <w:rPr>
          <w:rFonts w:ascii="Arial" w:eastAsia="Calibri" w:hAnsi="Arial" w:cs="Arial"/>
          <w:lang w:val="en-US"/>
        </w:rPr>
        <w:t xml:space="preserve">a </w:t>
      </w:r>
      <w:r w:rsidRPr="000A1682">
        <w:rPr>
          <w:rFonts w:ascii="Arial" w:eastAsia="Calibri" w:hAnsi="Arial" w:cs="Arial"/>
          <w:lang w:val="en-US"/>
        </w:rPr>
        <w:t>mortgage broker employing a submortgage broker.  In addition, to our knowledge, there has not been a single corporation who is a partner of a mortgage broker, which has been registered as a submortgage broker.</w:t>
      </w:r>
    </w:p>
    <w:p w:rsidR="000A1682" w:rsidRPr="000A1682" w:rsidRDefault="000A1682" w:rsidP="000A1682">
      <w:pPr>
        <w:shd w:val="clear" w:color="auto" w:fill="FFFFFF"/>
        <w:rPr>
          <w:rFonts w:ascii="Arial" w:eastAsia="Calibri" w:hAnsi="Arial" w:cs="Arial"/>
          <w:lang w:val="en-US"/>
        </w:rPr>
      </w:pPr>
      <w:r w:rsidRPr="000A1682">
        <w:rPr>
          <w:rFonts w:ascii="Arial" w:eastAsia="Calibri" w:hAnsi="Arial" w:cs="Arial"/>
          <w:lang w:val="en-US"/>
        </w:rPr>
        <w:t>During the last ten years, franchising and co-brokering have been used as a strategies by some submortgage brokers to incorporate while also maintaining ties to a larger, well known mortgage brokers. Under this arrangement, the submortgage broker must incorporate a franchisee entity, set up a separate office, enter into a franchise arrangement and a co-brokering relationship with the franchisor entity and then register as a mort</w:t>
      </w:r>
      <w:r w:rsidR="00DC212B">
        <w:rPr>
          <w:rFonts w:ascii="Arial" w:eastAsia="Calibri" w:hAnsi="Arial" w:cs="Arial"/>
          <w:lang w:val="en-US"/>
        </w:rPr>
        <w:t>gage broker.  The challenge for</w:t>
      </w:r>
      <w:r w:rsidRPr="000A1682">
        <w:rPr>
          <w:rFonts w:ascii="Arial" w:eastAsia="Calibri" w:hAnsi="Arial" w:cs="Arial"/>
          <w:lang w:val="en-US"/>
        </w:rPr>
        <w:t xml:space="preserve"> franchisees which operate as co-brokers with their franchisors is that the public may be confused about which mortgage brok</w:t>
      </w:r>
      <w:r w:rsidR="00274975">
        <w:rPr>
          <w:rFonts w:ascii="Arial" w:eastAsia="Calibri" w:hAnsi="Arial" w:cs="Arial"/>
          <w:lang w:val="en-US"/>
        </w:rPr>
        <w:t>er entity they are dealing with, as the two mortgage broker entities may share part of the franchisor name and management operations, in addition to operating in close proximity to one another.</w:t>
      </w:r>
    </w:p>
    <w:p w:rsidR="000A1682" w:rsidRPr="000A1682" w:rsidRDefault="000A1682" w:rsidP="000A1682">
      <w:pPr>
        <w:shd w:val="clear" w:color="auto" w:fill="FFFFFF"/>
        <w:rPr>
          <w:rFonts w:ascii="Arial" w:eastAsia="Calibri" w:hAnsi="Arial" w:cs="Arial"/>
          <w:u w:val="single"/>
          <w:lang w:val="en-US"/>
        </w:rPr>
      </w:pPr>
      <w:r w:rsidRPr="000A1682">
        <w:rPr>
          <w:rFonts w:ascii="Arial" w:eastAsia="Calibri" w:hAnsi="Arial" w:cs="Arial"/>
          <w:u w:val="single"/>
          <w:lang w:val="en-US"/>
        </w:rPr>
        <w:t>Professional Corporations</w:t>
      </w:r>
    </w:p>
    <w:p w:rsidR="000A1682" w:rsidRPr="000A1682" w:rsidRDefault="000A1682" w:rsidP="000A1682">
      <w:pPr>
        <w:autoSpaceDE w:val="0"/>
        <w:autoSpaceDN w:val="0"/>
        <w:adjustRightInd w:val="0"/>
        <w:rPr>
          <w:rFonts w:ascii="Arial" w:eastAsia="Calibri" w:hAnsi="Arial" w:cs="Arial"/>
          <w:color w:val="000000"/>
          <w:lang w:val="en-US"/>
        </w:rPr>
      </w:pPr>
      <w:r w:rsidRPr="000A1682">
        <w:rPr>
          <w:rFonts w:ascii="Arial" w:eastAsia="Calibri" w:hAnsi="Arial" w:cs="Arial"/>
          <w:color w:val="000000"/>
          <w:lang w:val="en-US"/>
        </w:rPr>
        <w:t>Most professionals, such as doctors, dentist, lawyers,</w:t>
      </w:r>
      <w:r w:rsidR="003D631B">
        <w:rPr>
          <w:rFonts w:ascii="Arial" w:eastAsia="Calibri" w:hAnsi="Arial" w:cs="Arial"/>
          <w:color w:val="000000"/>
          <w:lang w:val="en-US"/>
        </w:rPr>
        <w:t xml:space="preserve"> and</w:t>
      </w:r>
      <w:r w:rsidRPr="000A1682">
        <w:rPr>
          <w:rFonts w:ascii="Arial" w:eastAsia="Calibri" w:hAnsi="Arial" w:cs="Arial"/>
          <w:color w:val="000000"/>
          <w:lang w:val="en-US"/>
        </w:rPr>
        <w:t xml:space="preserve"> realtors are able to incorporate professional corporations.  The benefit to industry members is that a professional corporation enables them to take advantage of income splitting and tax deferral options.  </w:t>
      </w:r>
    </w:p>
    <w:p w:rsidR="000A1682" w:rsidRPr="000A1682" w:rsidRDefault="000A1682" w:rsidP="000A1682">
      <w:pPr>
        <w:autoSpaceDE w:val="0"/>
        <w:autoSpaceDN w:val="0"/>
        <w:adjustRightInd w:val="0"/>
        <w:rPr>
          <w:rFonts w:ascii="Arial" w:eastAsia="Calibri" w:hAnsi="Arial" w:cs="Arial"/>
          <w:color w:val="000000"/>
          <w:lang w:val="en-US"/>
        </w:rPr>
      </w:pPr>
      <w:r w:rsidRPr="000A1682">
        <w:rPr>
          <w:rFonts w:ascii="Arial" w:eastAsia="Calibri" w:hAnsi="Arial" w:cs="Arial"/>
          <w:color w:val="000000"/>
          <w:lang w:val="en-US"/>
        </w:rPr>
        <w:t xml:space="preserve">Corporate tax deferral is an advantage for professional corporations as they will pay a lower tax rate on active business income, up to a single limit of $500,000, than their personal taxpaying counterparts. The professional can then defer the payment of corporate dividends to shareholders to maximize personal tax benefits. Income splitting is a clear advantage for professional corporations as the professional corporation can </w:t>
      </w:r>
      <w:r w:rsidRPr="000A1682">
        <w:rPr>
          <w:rFonts w:ascii="Arial" w:eastAsia="Calibri" w:hAnsi="Arial" w:cs="Arial"/>
          <w:color w:val="000000"/>
          <w:lang w:val="en-US"/>
        </w:rPr>
        <w:lastRenderedPageBreak/>
        <w:t>pay dividends to shareholders, such as spouses, children or affiliated corporations, who are at a lower tax rate tha</w:t>
      </w:r>
      <w:r w:rsidR="003D631B">
        <w:rPr>
          <w:rFonts w:ascii="Arial" w:eastAsia="Calibri" w:hAnsi="Arial" w:cs="Arial"/>
          <w:color w:val="000000"/>
          <w:lang w:val="en-US"/>
        </w:rPr>
        <w:t>n</w:t>
      </w:r>
      <w:r w:rsidRPr="000A1682">
        <w:rPr>
          <w:rFonts w:ascii="Arial" w:eastAsia="Calibri" w:hAnsi="Arial" w:cs="Arial"/>
          <w:color w:val="000000"/>
          <w:lang w:val="en-US"/>
        </w:rPr>
        <w:t xml:space="preserve"> the professional.  However, the incorporation of a professional corporation is only p</w:t>
      </w:r>
      <w:r w:rsidR="003D631B">
        <w:rPr>
          <w:rFonts w:ascii="Arial" w:eastAsia="Calibri" w:hAnsi="Arial" w:cs="Arial"/>
          <w:color w:val="000000"/>
          <w:lang w:val="en-US"/>
        </w:rPr>
        <w:t>ossible if it is provided for in the profession</w:t>
      </w:r>
      <w:r w:rsidRPr="000A1682">
        <w:rPr>
          <w:rFonts w:ascii="Arial" w:eastAsia="Calibri" w:hAnsi="Arial" w:cs="Arial"/>
          <w:color w:val="000000"/>
          <w:lang w:val="en-US"/>
        </w:rPr>
        <w:t>s</w:t>
      </w:r>
      <w:r w:rsidR="003D631B">
        <w:rPr>
          <w:rFonts w:ascii="Arial" w:eastAsia="Calibri" w:hAnsi="Arial" w:cs="Arial"/>
          <w:color w:val="000000"/>
          <w:lang w:val="en-US"/>
        </w:rPr>
        <w:t>’</w:t>
      </w:r>
      <w:r w:rsidRPr="000A1682">
        <w:rPr>
          <w:rFonts w:ascii="Arial" w:eastAsia="Calibri" w:hAnsi="Arial" w:cs="Arial"/>
          <w:color w:val="000000"/>
          <w:lang w:val="en-US"/>
        </w:rPr>
        <w:t xml:space="preserve"> governing legislation.  Currently, the Act does not permit the incorporation of personal mortgage broker corporations.</w:t>
      </w:r>
    </w:p>
    <w:p w:rsidR="000A1682" w:rsidRPr="000A1682" w:rsidRDefault="000A1682" w:rsidP="000A1682">
      <w:pPr>
        <w:autoSpaceDE w:val="0"/>
        <w:autoSpaceDN w:val="0"/>
        <w:adjustRightInd w:val="0"/>
        <w:rPr>
          <w:rFonts w:ascii="Arial" w:hAnsi="Arial" w:cs="Arial"/>
          <w:iCs/>
          <w:lang w:val="en-US"/>
        </w:rPr>
      </w:pPr>
      <w:r w:rsidRPr="000A1682">
        <w:rPr>
          <w:rFonts w:ascii="Arial" w:eastAsia="Calibri" w:hAnsi="Arial" w:cs="Arial"/>
          <w:color w:val="000000"/>
          <w:lang w:val="en-US"/>
        </w:rPr>
        <w:t xml:space="preserve">Amendments to the </w:t>
      </w:r>
      <w:r w:rsidRPr="000A1682">
        <w:rPr>
          <w:rFonts w:ascii="Arial" w:eastAsia="Calibri" w:hAnsi="Arial" w:cs="Arial"/>
          <w:i/>
          <w:color w:val="000000"/>
          <w:lang w:val="en-US"/>
        </w:rPr>
        <w:t>Real Estate Services Act</w:t>
      </w:r>
      <w:r w:rsidRPr="000A1682">
        <w:rPr>
          <w:rFonts w:ascii="Arial" w:eastAsia="Calibri" w:hAnsi="Arial" w:cs="Arial"/>
          <w:color w:val="000000"/>
          <w:lang w:val="en-US"/>
        </w:rPr>
        <w:t xml:space="preserve"> (see Part 10 of </w:t>
      </w:r>
      <w:r w:rsidRPr="000A1682">
        <w:rPr>
          <w:rFonts w:ascii="Arial" w:eastAsia="Calibri" w:hAnsi="Arial" w:cs="Arial"/>
          <w:i/>
          <w:color w:val="000000"/>
          <w:lang w:val="en-US"/>
        </w:rPr>
        <w:t>the Real Estate Services Act Regulations</w:t>
      </w:r>
      <w:r w:rsidRPr="000A1682">
        <w:rPr>
          <w:rFonts w:ascii="Arial" w:eastAsia="Calibri" w:hAnsi="Arial" w:cs="Arial"/>
          <w:color w:val="000000"/>
          <w:lang w:val="en-US"/>
        </w:rPr>
        <w:t xml:space="preserve">, attached) were introduced in 2009, which permit licensed real estate professionals to incorporate personal real estate corporations. Remuneration paid to a real estate professional may be paid directly to his or her personal corporation, and then payment of fees or dividends may be paid from the personal corporation to the professional.  </w:t>
      </w:r>
      <w:r w:rsidRPr="000A1682">
        <w:rPr>
          <w:rFonts w:ascii="Arial" w:hAnsi="Arial" w:cs="Arial"/>
          <w:bCs/>
          <w:lang w:val="en-US"/>
        </w:rPr>
        <w:t xml:space="preserve">The personal </w:t>
      </w:r>
      <w:r w:rsidR="00071D06">
        <w:rPr>
          <w:rFonts w:ascii="Arial" w:hAnsi="Arial" w:cs="Arial"/>
          <w:bCs/>
          <w:lang w:val="en-US"/>
        </w:rPr>
        <w:t xml:space="preserve">real estate </w:t>
      </w:r>
      <w:r w:rsidRPr="000A1682">
        <w:rPr>
          <w:rFonts w:ascii="Arial" w:hAnsi="Arial" w:cs="Arial"/>
          <w:bCs/>
          <w:lang w:val="en-US"/>
        </w:rPr>
        <w:t>corporation may only provide</w:t>
      </w:r>
      <w:r w:rsidRPr="000A1682">
        <w:rPr>
          <w:rFonts w:ascii="Arial" w:hAnsi="Arial" w:cs="Arial"/>
          <w:iCs/>
          <w:lang w:val="en-US"/>
        </w:rPr>
        <w:t xml:space="preserve"> real estate services by the licensed professional</w:t>
      </w:r>
      <w:r w:rsidR="00274975">
        <w:rPr>
          <w:rFonts w:ascii="Arial" w:hAnsi="Arial" w:cs="Arial"/>
          <w:iCs/>
          <w:lang w:val="en-US"/>
        </w:rPr>
        <w:t xml:space="preserve"> and cannot avoid regulatory liability</w:t>
      </w:r>
      <w:r w:rsidRPr="000A1682">
        <w:rPr>
          <w:rFonts w:ascii="Arial" w:hAnsi="Arial" w:cs="Arial"/>
          <w:iCs/>
          <w:lang w:val="en-US"/>
        </w:rPr>
        <w:t>. In addition, under the Regulations, voting shares may only be issued to a licensed professional.</w:t>
      </w:r>
    </w:p>
    <w:p w:rsidR="000A1682" w:rsidRPr="000A1682" w:rsidRDefault="000A1682" w:rsidP="000A1682">
      <w:pPr>
        <w:autoSpaceDE w:val="0"/>
        <w:autoSpaceDN w:val="0"/>
        <w:adjustRightInd w:val="0"/>
        <w:rPr>
          <w:rFonts w:ascii="Arial" w:hAnsi="Arial" w:cs="Arial"/>
          <w:iCs/>
          <w:u w:val="single"/>
          <w:lang w:val="en-US"/>
        </w:rPr>
      </w:pPr>
      <w:r w:rsidRPr="000A1682">
        <w:rPr>
          <w:rFonts w:ascii="Arial" w:hAnsi="Arial" w:cs="Arial"/>
          <w:iCs/>
          <w:u w:val="single"/>
          <w:lang w:val="en-US"/>
        </w:rPr>
        <w:t>Recommendation</w:t>
      </w:r>
    </w:p>
    <w:p w:rsidR="000A1682" w:rsidRPr="000A1682" w:rsidRDefault="000A1682" w:rsidP="000A1682">
      <w:pPr>
        <w:autoSpaceDE w:val="0"/>
        <w:autoSpaceDN w:val="0"/>
        <w:adjustRightInd w:val="0"/>
        <w:rPr>
          <w:rFonts w:ascii="Arial" w:hAnsi="Arial" w:cs="Arial"/>
          <w:iCs/>
          <w:lang w:val="en-US"/>
        </w:rPr>
      </w:pPr>
      <w:r w:rsidRPr="000A1682">
        <w:rPr>
          <w:rFonts w:ascii="Arial" w:hAnsi="Arial" w:cs="Arial"/>
          <w:iCs/>
          <w:lang w:val="en-US"/>
        </w:rPr>
        <w:t>The definition of submortgage broker should be amended by eliminating the option of corporations, who are partners of the mortgage broker, to obtain submortgage broker registration.</w:t>
      </w:r>
      <w:r w:rsidR="00274975">
        <w:rPr>
          <w:rFonts w:ascii="Arial" w:hAnsi="Arial" w:cs="Arial"/>
          <w:iCs/>
          <w:lang w:val="en-US"/>
        </w:rPr>
        <w:t xml:space="preserve"> This provision is </w:t>
      </w:r>
      <w:r w:rsidR="00747F1B">
        <w:rPr>
          <w:rFonts w:ascii="Arial" w:hAnsi="Arial" w:cs="Arial"/>
          <w:iCs/>
          <w:lang w:val="en-US"/>
        </w:rPr>
        <w:t xml:space="preserve">clearly </w:t>
      </w:r>
      <w:r w:rsidR="00274975">
        <w:rPr>
          <w:rFonts w:ascii="Arial" w:hAnsi="Arial" w:cs="Arial"/>
          <w:iCs/>
          <w:lang w:val="en-US"/>
        </w:rPr>
        <w:t>not relevant in today’s mortgage broker en</w:t>
      </w:r>
      <w:r w:rsidR="00747F1B">
        <w:rPr>
          <w:rFonts w:ascii="Arial" w:hAnsi="Arial" w:cs="Arial"/>
          <w:iCs/>
          <w:lang w:val="en-US"/>
        </w:rPr>
        <w:t>vironment.</w:t>
      </w:r>
      <w:r w:rsidRPr="000A1682">
        <w:rPr>
          <w:rFonts w:ascii="Arial" w:hAnsi="Arial" w:cs="Arial"/>
          <w:iCs/>
          <w:lang w:val="en-US"/>
        </w:rPr>
        <w:t xml:space="preserve">  However, the Act should be </w:t>
      </w:r>
      <w:r w:rsidR="00747F1B">
        <w:rPr>
          <w:rFonts w:ascii="Arial" w:hAnsi="Arial" w:cs="Arial"/>
          <w:iCs/>
          <w:lang w:val="en-US"/>
        </w:rPr>
        <w:t xml:space="preserve">further </w:t>
      </w:r>
      <w:r w:rsidRPr="000A1682">
        <w:rPr>
          <w:rFonts w:ascii="Arial" w:hAnsi="Arial" w:cs="Arial"/>
          <w:iCs/>
          <w:lang w:val="en-US"/>
        </w:rPr>
        <w:t>amended to enable submortgage brokers to incorporate professional mortgage broker corporations</w:t>
      </w:r>
      <w:r w:rsidR="00747F1B">
        <w:rPr>
          <w:rFonts w:ascii="Arial" w:hAnsi="Arial" w:cs="Arial"/>
          <w:iCs/>
          <w:lang w:val="en-US"/>
        </w:rPr>
        <w:t xml:space="preserve"> which are capable of collecting and retaining broker fees and commissions owing to a submortgage broker from the</w:t>
      </w:r>
      <w:r w:rsidR="00182A6C">
        <w:rPr>
          <w:rFonts w:ascii="Arial" w:hAnsi="Arial" w:cs="Arial"/>
          <w:iCs/>
          <w:lang w:val="en-US"/>
        </w:rPr>
        <w:t>ir</w:t>
      </w:r>
      <w:r w:rsidR="00747F1B">
        <w:rPr>
          <w:rFonts w:ascii="Arial" w:hAnsi="Arial" w:cs="Arial"/>
          <w:iCs/>
          <w:lang w:val="en-US"/>
        </w:rPr>
        <w:t xml:space="preserve"> mortgage broker</w:t>
      </w:r>
      <w:r w:rsidRPr="000A1682">
        <w:rPr>
          <w:rFonts w:ascii="Arial" w:hAnsi="Arial" w:cs="Arial"/>
          <w:iCs/>
          <w:lang w:val="en-US"/>
        </w:rPr>
        <w:t xml:space="preserve">.  </w:t>
      </w:r>
      <w:r w:rsidR="00747F1B">
        <w:rPr>
          <w:rFonts w:ascii="Arial" w:hAnsi="Arial" w:cs="Arial"/>
          <w:iCs/>
          <w:lang w:val="en-US"/>
        </w:rPr>
        <w:t>This provision would modernize the legislation and put submortgage brokers on the same footing as other professionals, such as realtors. Permitting brokers to do this would also</w:t>
      </w:r>
      <w:r w:rsidRPr="000A1682">
        <w:rPr>
          <w:rFonts w:ascii="Arial" w:hAnsi="Arial" w:cs="Arial"/>
          <w:iCs/>
          <w:lang w:val="en-US"/>
        </w:rPr>
        <w:t xml:space="preserve"> provide a simpler and more transparent mechanism for mortgage brokers to utilize corporations for tax savings strategies than </w:t>
      </w:r>
      <w:r w:rsidR="00DC212B">
        <w:rPr>
          <w:rFonts w:ascii="Arial" w:hAnsi="Arial" w:cs="Arial"/>
          <w:iCs/>
          <w:lang w:val="en-US"/>
        </w:rPr>
        <w:t xml:space="preserve">co-broking strategies which </w:t>
      </w:r>
      <w:r w:rsidR="00747F1B">
        <w:rPr>
          <w:rFonts w:ascii="Arial" w:hAnsi="Arial" w:cs="Arial"/>
          <w:iCs/>
          <w:lang w:val="en-US"/>
        </w:rPr>
        <w:t>are sometimes utilized,</w:t>
      </w:r>
      <w:r w:rsidR="00071D06">
        <w:rPr>
          <w:rFonts w:ascii="Arial" w:hAnsi="Arial" w:cs="Arial"/>
          <w:iCs/>
          <w:lang w:val="en-US"/>
        </w:rPr>
        <w:t xml:space="preserve"> </w:t>
      </w:r>
      <w:r w:rsidR="00DC212B">
        <w:rPr>
          <w:rFonts w:ascii="Arial" w:hAnsi="Arial" w:cs="Arial"/>
          <w:iCs/>
          <w:lang w:val="en-US"/>
        </w:rPr>
        <w:t xml:space="preserve">and may create confusion for the </w:t>
      </w:r>
      <w:r w:rsidR="00071D06">
        <w:rPr>
          <w:rFonts w:ascii="Arial" w:hAnsi="Arial" w:cs="Arial"/>
          <w:iCs/>
          <w:lang w:val="en-US"/>
        </w:rPr>
        <w:t>public</w:t>
      </w:r>
      <w:r w:rsidR="00DC212B">
        <w:rPr>
          <w:rFonts w:ascii="Arial" w:hAnsi="Arial" w:cs="Arial"/>
          <w:iCs/>
          <w:lang w:val="en-US"/>
        </w:rPr>
        <w:t>.</w:t>
      </w:r>
      <w:r w:rsidR="00276CB8">
        <w:rPr>
          <w:rFonts w:ascii="Arial" w:hAnsi="Arial" w:cs="Arial"/>
          <w:iCs/>
          <w:lang w:val="en-US"/>
        </w:rPr>
        <w:t xml:space="preserve"> The net benefit</w:t>
      </w:r>
      <w:r w:rsidR="00DC212B">
        <w:rPr>
          <w:rFonts w:ascii="Arial" w:hAnsi="Arial" w:cs="Arial"/>
          <w:iCs/>
          <w:lang w:val="en-US"/>
        </w:rPr>
        <w:t xml:space="preserve"> of permitting personal mortgage broker corporations</w:t>
      </w:r>
      <w:r w:rsidR="00276CB8">
        <w:rPr>
          <w:rFonts w:ascii="Arial" w:hAnsi="Arial" w:cs="Arial"/>
          <w:iCs/>
          <w:lang w:val="en-US"/>
        </w:rPr>
        <w:t xml:space="preserve"> is </w:t>
      </w:r>
      <w:r w:rsidR="00DC212B">
        <w:rPr>
          <w:rFonts w:ascii="Arial" w:hAnsi="Arial" w:cs="Arial"/>
          <w:iCs/>
          <w:lang w:val="en-US"/>
        </w:rPr>
        <w:t xml:space="preserve">therefore </w:t>
      </w:r>
      <w:r w:rsidR="00276CB8">
        <w:rPr>
          <w:rFonts w:ascii="Arial" w:hAnsi="Arial" w:cs="Arial"/>
          <w:iCs/>
          <w:lang w:val="en-US"/>
        </w:rPr>
        <w:t>two</w:t>
      </w:r>
      <w:r w:rsidRPr="000A1682">
        <w:rPr>
          <w:rFonts w:ascii="Arial" w:hAnsi="Arial" w:cs="Arial"/>
          <w:iCs/>
          <w:lang w:val="en-US"/>
        </w:rPr>
        <w:t>fold: enhanced consumer protection and the removal of economic barriers for mortgage brokers.</w:t>
      </w:r>
    </w:p>
    <w:p w:rsidR="007A3761" w:rsidRDefault="000A1682" w:rsidP="000A1682">
      <w:pPr>
        <w:autoSpaceDE w:val="0"/>
        <w:autoSpaceDN w:val="0"/>
        <w:adjustRightInd w:val="0"/>
        <w:rPr>
          <w:rFonts w:ascii="Arial" w:hAnsi="Arial" w:cs="Arial"/>
          <w:iCs/>
          <w:lang w:val="en-US"/>
        </w:rPr>
      </w:pPr>
      <w:r w:rsidRPr="000A1682">
        <w:rPr>
          <w:rFonts w:ascii="Arial" w:hAnsi="Arial" w:cs="Arial"/>
          <w:iCs/>
          <w:lang w:val="en-US"/>
        </w:rPr>
        <w:t xml:space="preserve">The MBABC and MBIBC recommend that the Act be amended to permit submortgage brokers to incorporate personal mortgage broker corporations, in substantially the same </w:t>
      </w:r>
    </w:p>
    <w:p w:rsidR="007A3761" w:rsidRDefault="007A3761" w:rsidP="000A1682">
      <w:pPr>
        <w:autoSpaceDE w:val="0"/>
        <w:autoSpaceDN w:val="0"/>
        <w:adjustRightInd w:val="0"/>
        <w:rPr>
          <w:rFonts w:ascii="Arial" w:hAnsi="Arial" w:cs="Arial"/>
          <w:iCs/>
          <w:lang w:val="en-US"/>
        </w:rPr>
      </w:pPr>
    </w:p>
    <w:p w:rsidR="007A3761" w:rsidRDefault="007A3761" w:rsidP="000A1682">
      <w:pPr>
        <w:autoSpaceDE w:val="0"/>
        <w:autoSpaceDN w:val="0"/>
        <w:adjustRightInd w:val="0"/>
        <w:rPr>
          <w:rFonts w:ascii="Arial" w:hAnsi="Arial" w:cs="Arial"/>
          <w:iCs/>
          <w:lang w:val="en-US"/>
        </w:rPr>
      </w:pPr>
    </w:p>
    <w:p w:rsidR="000A1682" w:rsidRPr="000A1682" w:rsidRDefault="000A1682" w:rsidP="000A1682">
      <w:pPr>
        <w:autoSpaceDE w:val="0"/>
        <w:autoSpaceDN w:val="0"/>
        <w:adjustRightInd w:val="0"/>
        <w:rPr>
          <w:rFonts w:ascii="Arial" w:hAnsi="Arial" w:cs="Arial"/>
          <w:iCs/>
          <w:lang w:val="en-US"/>
        </w:rPr>
      </w:pPr>
      <w:r w:rsidRPr="000A1682">
        <w:rPr>
          <w:rFonts w:ascii="Arial" w:hAnsi="Arial" w:cs="Arial"/>
          <w:iCs/>
          <w:lang w:val="en-US"/>
        </w:rPr>
        <w:lastRenderedPageBreak/>
        <w:t xml:space="preserve">manner as Part 10 of the </w:t>
      </w:r>
      <w:r w:rsidRPr="000A1682">
        <w:rPr>
          <w:rFonts w:ascii="Arial" w:eastAsia="Calibri" w:hAnsi="Arial" w:cs="Arial"/>
          <w:i/>
          <w:color w:val="000000"/>
          <w:lang w:val="en-US"/>
        </w:rPr>
        <w:t>Real Estate Services Act Regulations.</w:t>
      </w:r>
    </w:p>
    <w:p w:rsidR="00AE2DC1" w:rsidRDefault="00AE2DC1" w:rsidP="00AE2DC1">
      <w:pPr>
        <w:spacing w:after="0" w:line="240" w:lineRule="auto"/>
        <w:jc w:val="left"/>
        <w:rPr>
          <w:rFonts w:ascii="Arial" w:eastAsia="Calibri" w:hAnsi="Arial" w:cs="Arial"/>
          <w:lang w:val="en-US"/>
        </w:rPr>
      </w:pPr>
    </w:p>
    <w:p w:rsidR="00AE2DC1" w:rsidRPr="00AE2DC1" w:rsidRDefault="00AE2DC1" w:rsidP="00AE2DC1">
      <w:pPr>
        <w:spacing w:after="0" w:line="240" w:lineRule="auto"/>
        <w:jc w:val="left"/>
        <w:rPr>
          <w:rFonts w:ascii="Arial" w:eastAsia="Calibri" w:hAnsi="Arial" w:cs="Arial"/>
          <w:lang w:val="en-US"/>
        </w:rPr>
      </w:pPr>
      <w:r w:rsidRPr="00AE2DC1">
        <w:rPr>
          <w:rFonts w:ascii="Arial" w:eastAsia="Calibri" w:hAnsi="Arial" w:cs="Arial"/>
          <w:lang w:val="en-US"/>
        </w:rPr>
        <w:t>Yours truly,</w:t>
      </w:r>
    </w:p>
    <w:p w:rsidR="00AE2DC1" w:rsidRDefault="00AE2DC1" w:rsidP="00AE2DC1">
      <w:pPr>
        <w:spacing w:after="0" w:line="240" w:lineRule="auto"/>
        <w:jc w:val="left"/>
        <w:rPr>
          <w:rFonts w:ascii="Arial" w:eastAsia="Calibri" w:hAnsi="Arial" w:cs="Arial"/>
          <w:lang w:val="en-US"/>
        </w:rPr>
      </w:pPr>
    </w:p>
    <w:p w:rsidR="007A3761" w:rsidRPr="00AE2DC1" w:rsidRDefault="00E014F1" w:rsidP="00AE2DC1">
      <w:pPr>
        <w:spacing w:after="0" w:line="240" w:lineRule="auto"/>
        <w:jc w:val="left"/>
        <w:rPr>
          <w:rFonts w:ascii="Arial" w:eastAsia="Calibri" w:hAnsi="Arial" w:cs="Arial"/>
          <w:lang w:val="en-US"/>
        </w:rPr>
      </w:pPr>
      <w:r>
        <w:rPr>
          <w:rFonts w:ascii="Arial" w:hAnsi="Arial"/>
          <w:noProof/>
          <w:lang w:eastAsia="en-CA"/>
        </w:rPr>
        <w:drawing>
          <wp:inline distT="0" distB="0" distL="0" distR="0">
            <wp:extent cx="1438275" cy="800100"/>
            <wp:effectExtent l="19050" t="0" r="9525" b="0"/>
            <wp:docPr id="2" name="Picture 2" descr="cid:image001.png@01CDB5EF.AE382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DB5EF.AE382A20"/>
                    <pic:cNvPicPr>
                      <a:picLocks noChangeAspect="1" noChangeArrowheads="1"/>
                    </pic:cNvPicPr>
                  </pic:nvPicPr>
                  <pic:blipFill>
                    <a:blip r:embed="rId9" r:link="rId10" cstate="print"/>
                    <a:srcRect/>
                    <a:stretch>
                      <a:fillRect/>
                    </a:stretch>
                  </pic:blipFill>
                  <pic:spPr bwMode="auto">
                    <a:xfrm>
                      <a:off x="0" y="0"/>
                      <a:ext cx="1438275" cy="800100"/>
                    </a:xfrm>
                    <a:prstGeom prst="rect">
                      <a:avLst/>
                    </a:prstGeom>
                    <a:noFill/>
                    <a:ln w="9525">
                      <a:noFill/>
                      <a:miter lim="800000"/>
                      <a:headEnd/>
                      <a:tailEnd/>
                    </a:ln>
                  </pic:spPr>
                </pic:pic>
              </a:graphicData>
            </a:graphic>
          </wp:inline>
        </w:drawing>
      </w:r>
    </w:p>
    <w:p w:rsidR="00AE2DC1" w:rsidRPr="00AE2DC1" w:rsidRDefault="00AE2DC1" w:rsidP="00AE2DC1">
      <w:pPr>
        <w:spacing w:after="0" w:line="240" w:lineRule="auto"/>
        <w:jc w:val="left"/>
        <w:rPr>
          <w:rFonts w:ascii="Arial" w:eastAsia="Calibri" w:hAnsi="Arial" w:cs="Arial"/>
          <w:lang w:val="en-US"/>
        </w:rPr>
      </w:pPr>
    </w:p>
    <w:p w:rsidR="00AE2DC1" w:rsidRPr="00AE2DC1" w:rsidRDefault="00AE2DC1" w:rsidP="00AE2DC1">
      <w:pPr>
        <w:spacing w:after="0" w:line="240" w:lineRule="auto"/>
        <w:jc w:val="left"/>
        <w:rPr>
          <w:rFonts w:ascii="Arial" w:eastAsia="Calibri" w:hAnsi="Arial" w:cs="Arial"/>
          <w:lang w:val="en-US"/>
        </w:rPr>
      </w:pPr>
      <w:r w:rsidRPr="00AE2DC1">
        <w:rPr>
          <w:rFonts w:ascii="Arial" w:eastAsia="Calibri" w:hAnsi="Arial" w:cs="Arial"/>
          <w:lang w:val="en-US"/>
        </w:rPr>
        <w:t>Samantha Gale</w:t>
      </w:r>
    </w:p>
    <w:p w:rsidR="00AE2DC1" w:rsidRPr="00AE2DC1" w:rsidRDefault="00AE2DC1" w:rsidP="00AE2DC1">
      <w:pPr>
        <w:spacing w:after="0" w:line="240" w:lineRule="auto"/>
        <w:jc w:val="left"/>
        <w:rPr>
          <w:rFonts w:ascii="Arial" w:eastAsia="Calibri" w:hAnsi="Arial" w:cs="Arial"/>
          <w:lang w:val="en-US"/>
        </w:rPr>
      </w:pPr>
      <w:r w:rsidRPr="00AE2DC1">
        <w:rPr>
          <w:rFonts w:ascii="Arial" w:eastAsia="Calibri" w:hAnsi="Arial" w:cs="Arial"/>
          <w:lang w:val="en-US"/>
        </w:rPr>
        <w:t>CEO, MBABC and MBIBC</w:t>
      </w:r>
    </w:p>
    <w:p w:rsidR="000A1682" w:rsidRPr="000A1682" w:rsidRDefault="000A1682" w:rsidP="000A1682">
      <w:pPr>
        <w:spacing w:before="480" w:after="168"/>
        <w:jc w:val="center"/>
        <w:rPr>
          <w:rFonts w:ascii="Verdana" w:hAnsi="Verdana"/>
          <w:b/>
          <w:bCs/>
          <w:color w:val="000000"/>
          <w:sz w:val="26"/>
          <w:szCs w:val="26"/>
          <w:lang w:val="en-US"/>
        </w:rPr>
      </w:pPr>
      <w:r w:rsidRPr="000A1682">
        <w:rPr>
          <w:rFonts w:ascii="Arial" w:hAnsi="Arial" w:cs="Arial"/>
          <w:b/>
          <w:bCs/>
          <w:iCs/>
          <w:color w:val="000000"/>
          <w:lang w:val="en-US"/>
        </w:rPr>
        <w:t xml:space="preserve"> </w:t>
      </w:r>
      <w:bookmarkStart w:id="0" w:name="part10"/>
      <w:bookmarkEnd w:id="0"/>
      <w:r w:rsidRPr="000A1682">
        <w:rPr>
          <w:rFonts w:ascii="Verdana" w:hAnsi="Verdana"/>
          <w:b/>
          <w:bCs/>
          <w:color w:val="000000"/>
          <w:sz w:val="26"/>
          <w:szCs w:val="26"/>
          <w:lang w:val="en-US"/>
        </w:rPr>
        <w:t xml:space="preserve">Part 10 — Personal Real Estate Corporations </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1" w:name="section10.1"/>
      <w:bookmarkEnd w:id="1"/>
      <w:r w:rsidRPr="000A1682">
        <w:rPr>
          <w:rFonts w:ascii="Verdana" w:hAnsi="Verdana"/>
          <w:b/>
          <w:bCs/>
          <w:color w:val="000000"/>
          <w:sz w:val="22"/>
          <w:szCs w:val="22"/>
          <w:lang w:val="en-US"/>
        </w:rPr>
        <w:t xml:space="preserve">Definitions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t>10.1</w:t>
      </w:r>
      <w:r w:rsidRPr="000A1682">
        <w:rPr>
          <w:rFonts w:ascii="Verdana" w:hAnsi="Verdana"/>
          <w:color w:val="000000"/>
          <w:sz w:val="22"/>
          <w:szCs w:val="22"/>
          <w:lang w:val="en-US"/>
        </w:rPr>
        <w:t xml:space="preserve"> In this Part: </w:t>
      </w:r>
    </w:p>
    <w:p w:rsidR="000A1682" w:rsidRPr="000A1682" w:rsidRDefault="000A1682" w:rsidP="000A1682">
      <w:pPr>
        <w:spacing w:before="168" w:after="168"/>
        <w:ind w:left="2040" w:hanging="120"/>
        <w:rPr>
          <w:rFonts w:ascii="Verdana" w:hAnsi="Verdana"/>
          <w:color w:val="000000"/>
          <w:sz w:val="22"/>
          <w:szCs w:val="22"/>
          <w:lang w:val="en-US"/>
        </w:rPr>
      </w:pPr>
      <w:r w:rsidRPr="000A1682">
        <w:rPr>
          <w:rFonts w:ascii="Verdana" w:hAnsi="Verdana"/>
          <w:b/>
          <w:bCs/>
          <w:color w:val="000000"/>
          <w:sz w:val="22"/>
          <w:szCs w:val="22"/>
          <w:lang w:val="en-US"/>
        </w:rPr>
        <w:t xml:space="preserve">"affiliated person" </w:t>
      </w:r>
      <w:r w:rsidRPr="000A1682">
        <w:rPr>
          <w:rFonts w:ascii="Verdana" w:hAnsi="Verdana"/>
          <w:color w:val="000000"/>
          <w:sz w:val="22"/>
          <w:szCs w:val="22"/>
          <w:lang w:val="en-US"/>
        </w:rPr>
        <w:t xml:space="preserve">, in relation to a controlling individual, means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the spouse of the controlling individual,</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a child of the controlling individual,</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(c) a corporation, all of the shares of which are beneficially owned by one or more of the controlling individual and the other individuals referred to in paragraphs (a) and (b), or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(d) a trust, all of the beneficiaries of which are one or more of the controlling individual and the other individuals referred to in paragraphs (a) and (b); </w:t>
      </w:r>
    </w:p>
    <w:p w:rsidR="000A1682" w:rsidRPr="000A1682" w:rsidRDefault="000A1682" w:rsidP="000A1682">
      <w:pPr>
        <w:spacing w:before="168" w:after="168"/>
        <w:ind w:left="2040" w:hanging="120"/>
        <w:rPr>
          <w:rFonts w:ascii="Verdana" w:hAnsi="Verdana"/>
          <w:color w:val="000000"/>
          <w:sz w:val="22"/>
          <w:szCs w:val="22"/>
          <w:lang w:val="en-US"/>
        </w:rPr>
      </w:pPr>
      <w:r w:rsidRPr="000A1682">
        <w:rPr>
          <w:rFonts w:ascii="Verdana" w:hAnsi="Verdana"/>
          <w:b/>
          <w:bCs/>
          <w:color w:val="000000"/>
          <w:sz w:val="22"/>
          <w:szCs w:val="22"/>
          <w:lang w:val="en-US"/>
        </w:rPr>
        <w:t xml:space="preserve">"client" </w:t>
      </w:r>
      <w:r w:rsidRPr="000A1682">
        <w:rPr>
          <w:rFonts w:ascii="Verdana" w:hAnsi="Verdana"/>
          <w:color w:val="000000"/>
          <w:sz w:val="22"/>
          <w:szCs w:val="22"/>
          <w:lang w:val="en-US"/>
        </w:rPr>
        <w:t xml:space="preserve">means, in relation to a licensee, the principal who has engaged the licensee to provide real estate services to or on behalf of the principal; </w:t>
      </w:r>
    </w:p>
    <w:p w:rsidR="000A1682" w:rsidRPr="000A1682" w:rsidRDefault="000A1682" w:rsidP="000A1682">
      <w:pPr>
        <w:spacing w:before="168" w:after="168"/>
        <w:ind w:left="2040" w:hanging="120"/>
        <w:rPr>
          <w:rFonts w:ascii="Verdana" w:hAnsi="Verdana"/>
          <w:color w:val="000000"/>
          <w:sz w:val="22"/>
          <w:szCs w:val="22"/>
          <w:lang w:val="en-US"/>
        </w:rPr>
      </w:pPr>
      <w:r w:rsidRPr="000A1682">
        <w:rPr>
          <w:rFonts w:ascii="Verdana" w:hAnsi="Verdana"/>
          <w:b/>
          <w:bCs/>
          <w:color w:val="000000"/>
          <w:sz w:val="22"/>
          <w:szCs w:val="22"/>
          <w:lang w:val="en-US"/>
        </w:rPr>
        <w:lastRenderedPageBreak/>
        <w:t xml:space="preserve">"controlling individual" </w:t>
      </w:r>
      <w:r w:rsidRPr="000A1682">
        <w:rPr>
          <w:rFonts w:ascii="Verdana" w:hAnsi="Verdana"/>
          <w:color w:val="000000"/>
          <w:sz w:val="22"/>
          <w:szCs w:val="22"/>
          <w:lang w:val="en-US"/>
        </w:rPr>
        <w:t xml:space="preserve">, in relation to a personal real estate corporation, means the individual who is the sole voting shareholder of the personal real estate corporation; </w:t>
      </w:r>
    </w:p>
    <w:p w:rsidR="000A1682" w:rsidRPr="000A1682" w:rsidRDefault="000A1682" w:rsidP="000A1682">
      <w:pPr>
        <w:spacing w:before="168" w:after="168"/>
        <w:ind w:left="2040" w:hanging="120"/>
        <w:rPr>
          <w:rFonts w:ascii="Verdana" w:hAnsi="Verdana"/>
          <w:color w:val="000000"/>
          <w:sz w:val="22"/>
          <w:szCs w:val="22"/>
          <w:lang w:val="en-US"/>
        </w:rPr>
      </w:pPr>
      <w:r w:rsidRPr="000A1682">
        <w:rPr>
          <w:rFonts w:ascii="Verdana" w:hAnsi="Verdana"/>
          <w:b/>
          <w:bCs/>
          <w:color w:val="000000"/>
          <w:sz w:val="22"/>
          <w:szCs w:val="22"/>
          <w:lang w:val="en-US"/>
        </w:rPr>
        <w:t xml:space="preserve">"engaged" </w:t>
      </w:r>
      <w:r w:rsidRPr="000A1682">
        <w:rPr>
          <w:rFonts w:ascii="Verdana" w:hAnsi="Verdana"/>
          <w:color w:val="000000"/>
          <w:sz w:val="22"/>
          <w:szCs w:val="22"/>
          <w:lang w:val="en-US"/>
        </w:rPr>
        <w:t xml:space="preserve">, in relation to a personal real estate corporation, means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employed by the personal real estate corporation, or</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acting in an independent contractor relationship with the personal real estate corporation;</w:t>
      </w:r>
    </w:p>
    <w:p w:rsidR="000A1682" w:rsidRPr="000A1682" w:rsidRDefault="000A1682" w:rsidP="000A1682">
      <w:pPr>
        <w:spacing w:before="168" w:after="168"/>
        <w:ind w:left="2040" w:hanging="120"/>
        <w:rPr>
          <w:rFonts w:ascii="Verdana" w:hAnsi="Verdana"/>
          <w:color w:val="000000"/>
          <w:sz w:val="22"/>
          <w:szCs w:val="22"/>
          <w:lang w:val="en-US"/>
        </w:rPr>
      </w:pPr>
      <w:r w:rsidRPr="000A1682">
        <w:rPr>
          <w:rFonts w:ascii="Verdana" w:hAnsi="Verdana"/>
          <w:b/>
          <w:bCs/>
          <w:color w:val="000000"/>
          <w:sz w:val="22"/>
          <w:szCs w:val="22"/>
          <w:lang w:val="en-US"/>
        </w:rPr>
        <w:t xml:space="preserve">"licensee name" </w:t>
      </w:r>
      <w:r w:rsidRPr="000A1682">
        <w:rPr>
          <w:rFonts w:ascii="Verdana" w:hAnsi="Verdana"/>
          <w:color w:val="000000"/>
          <w:sz w:val="22"/>
          <w:szCs w:val="22"/>
          <w:lang w:val="en-US"/>
        </w:rPr>
        <w:t xml:space="preserve">means the licensee name of a licensee as established under the rules; </w:t>
      </w:r>
    </w:p>
    <w:p w:rsidR="000A1682" w:rsidRPr="000A1682" w:rsidRDefault="000A1682" w:rsidP="000A1682">
      <w:pPr>
        <w:spacing w:before="168" w:after="168"/>
        <w:ind w:left="2040" w:hanging="120"/>
        <w:rPr>
          <w:rFonts w:ascii="Verdana" w:hAnsi="Verdana"/>
          <w:color w:val="000000"/>
          <w:sz w:val="22"/>
          <w:szCs w:val="22"/>
          <w:lang w:val="en-US"/>
        </w:rPr>
      </w:pPr>
      <w:r w:rsidRPr="000A1682">
        <w:rPr>
          <w:rFonts w:ascii="Verdana" w:hAnsi="Verdana"/>
          <w:b/>
          <w:bCs/>
          <w:color w:val="000000"/>
          <w:sz w:val="22"/>
          <w:szCs w:val="22"/>
          <w:lang w:val="en-US"/>
        </w:rPr>
        <w:t xml:space="preserve">"personal real estate corporation" </w:t>
      </w:r>
      <w:r w:rsidRPr="000A1682">
        <w:rPr>
          <w:rFonts w:ascii="Verdana" w:hAnsi="Verdana"/>
          <w:color w:val="000000"/>
          <w:sz w:val="22"/>
          <w:szCs w:val="22"/>
          <w:lang w:val="en-US"/>
        </w:rPr>
        <w:t xml:space="preserve">means a corporation that is licensed in accordance with this Part; </w:t>
      </w:r>
    </w:p>
    <w:p w:rsidR="000A1682" w:rsidRPr="000A1682" w:rsidRDefault="000A1682" w:rsidP="000A1682">
      <w:pPr>
        <w:spacing w:before="168" w:after="168"/>
        <w:ind w:left="2040" w:hanging="120"/>
        <w:rPr>
          <w:rFonts w:ascii="Verdana" w:hAnsi="Verdana"/>
          <w:color w:val="000000"/>
          <w:sz w:val="22"/>
          <w:szCs w:val="22"/>
          <w:lang w:val="en-US"/>
        </w:rPr>
      </w:pPr>
      <w:r w:rsidRPr="000A1682">
        <w:rPr>
          <w:rFonts w:ascii="Verdana" w:hAnsi="Verdana"/>
          <w:b/>
          <w:bCs/>
          <w:color w:val="000000"/>
          <w:sz w:val="22"/>
          <w:szCs w:val="22"/>
          <w:lang w:val="en-US"/>
        </w:rPr>
        <w:t xml:space="preserve">"personal real estate corporation licence" </w:t>
      </w:r>
      <w:r w:rsidRPr="000A1682">
        <w:rPr>
          <w:rFonts w:ascii="Verdana" w:hAnsi="Verdana"/>
          <w:color w:val="000000"/>
          <w:sz w:val="22"/>
          <w:szCs w:val="22"/>
          <w:lang w:val="en-US"/>
        </w:rPr>
        <w:t xml:space="preserve">means a licence issued to a corporation in accordance with this Part; </w:t>
      </w:r>
    </w:p>
    <w:p w:rsidR="000A1682" w:rsidRPr="000A1682" w:rsidRDefault="000A1682" w:rsidP="000A1682">
      <w:pPr>
        <w:spacing w:before="168" w:after="168"/>
        <w:ind w:left="2040" w:hanging="120"/>
        <w:rPr>
          <w:rFonts w:ascii="Verdana" w:hAnsi="Verdana"/>
          <w:color w:val="000000"/>
          <w:sz w:val="22"/>
          <w:szCs w:val="22"/>
          <w:lang w:val="en-US"/>
        </w:rPr>
      </w:pPr>
      <w:r w:rsidRPr="000A1682">
        <w:rPr>
          <w:rFonts w:ascii="Verdana" w:hAnsi="Verdana"/>
          <w:b/>
          <w:bCs/>
          <w:color w:val="000000"/>
          <w:sz w:val="22"/>
          <w:szCs w:val="22"/>
          <w:lang w:val="en-US"/>
        </w:rPr>
        <w:t xml:space="preserve">"spouse" </w:t>
      </w:r>
      <w:r w:rsidRPr="000A1682">
        <w:rPr>
          <w:rFonts w:ascii="Verdana" w:hAnsi="Verdana"/>
          <w:color w:val="000000"/>
          <w:sz w:val="22"/>
          <w:szCs w:val="22"/>
          <w:lang w:val="en-US"/>
        </w:rPr>
        <w:t xml:space="preserve">, in relation to a controlling individual, means a person who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is married to the controlling individual, or</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(b) is living and cohabiting with the controlling individual in a marriage-like relationship, including a marriage-like relationship between persons of the same gender. </w:t>
      </w:r>
    </w:p>
    <w:p w:rsidR="000A1682" w:rsidRPr="000A1682" w:rsidRDefault="000A1682" w:rsidP="000A1682">
      <w:pPr>
        <w:spacing w:before="168" w:after="168"/>
        <w:ind w:left="4080"/>
        <w:rPr>
          <w:rFonts w:ascii="Verdana" w:hAnsi="Verdana"/>
          <w:color w:val="000000"/>
          <w:sz w:val="18"/>
          <w:szCs w:val="18"/>
          <w:lang w:val="en-US"/>
        </w:rPr>
      </w:pPr>
      <w:r w:rsidRPr="000A1682">
        <w:rPr>
          <w:rFonts w:ascii="Verdana" w:hAnsi="Verdana"/>
          <w:color w:val="000000"/>
          <w:sz w:val="18"/>
          <w:szCs w:val="18"/>
          <w:lang w:val="en-US"/>
        </w:rPr>
        <w:t>[en. B.C. Reg. 17/2008, s. 2; am. B.C. Reg. 87/2009, s. 3.]</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2" w:name="section10.2"/>
      <w:bookmarkEnd w:id="2"/>
      <w:r w:rsidRPr="000A1682">
        <w:rPr>
          <w:rFonts w:ascii="Verdana" w:hAnsi="Verdana"/>
          <w:b/>
          <w:bCs/>
          <w:color w:val="000000"/>
          <w:sz w:val="22"/>
          <w:szCs w:val="22"/>
          <w:lang w:val="en-US"/>
        </w:rPr>
        <w:t xml:space="preserve">Personal real estate corporations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t>10.2</w:t>
      </w:r>
      <w:r w:rsidRPr="000A1682">
        <w:rPr>
          <w:rFonts w:ascii="Verdana" w:hAnsi="Verdana"/>
          <w:color w:val="000000"/>
          <w:sz w:val="22"/>
          <w:szCs w:val="22"/>
          <w:lang w:val="en-US"/>
        </w:rPr>
        <w:t xml:space="preserve"> A corporation that meets the requirements of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Part 2 of the Act, and</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this Part of the regulations</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lastRenderedPageBreak/>
        <w:t>may be licensed, under Part 2 of the Act and in accordance with this Part, as a managing broker, associate broker or representative.</w:t>
      </w:r>
    </w:p>
    <w:p w:rsidR="000A1682" w:rsidRPr="000A1682" w:rsidRDefault="000A1682" w:rsidP="000A1682">
      <w:pPr>
        <w:spacing w:before="168" w:after="168"/>
        <w:ind w:left="4080"/>
        <w:rPr>
          <w:rFonts w:ascii="Verdana" w:hAnsi="Verdana"/>
          <w:color w:val="000000"/>
          <w:sz w:val="18"/>
          <w:szCs w:val="18"/>
          <w:lang w:val="en-US"/>
        </w:rPr>
      </w:pPr>
      <w:r w:rsidRPr="000A1682">
        <w:rPr>
          <w:rFonts w:ascii="Verdana" w:hAnsi="Verdana"/>
          <w:color w:val="000000"/>
          <w:sz w:val="18"/>
          <w:szCs w:val="18"/>
          <w:lang w:val="en-US"/>
        </w:rPr>
        <w:t>[en. B.C. Reg. 17/2008, s. 2.]</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3" w:name="section10.3"/>
      <w:bookmarkEnd w:id="3"/>
      <w:r w:rsidRPr="000A1682">
        <w:rPr>
          <w:rFonts w:ascii="Verdana" w:hAnsi="Verdana"/>
          <w:b/>
          <w:bCs/>
          <w:color w:val="000000"/>
          <w:sz w:val="22"/>
          <w:szCs w:val="22"/>
          <w:lang w:val="en-US"/>
        </w:rPr>
        <w:t xml:space="preserve">Corporate qualifications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t>10.3</w:t>
      </w:r>
      <w:r w:rsidRPr="000A1682">
        <w:rPr>
          <w:rFonts w:ascii="Verdana" w:hAnsi="Verdana"/>
          <w:color w:val="000000"/>
          <w:sz w:val="22"/>
          <w:szCs w:val="22"/>
          <w:lang w:val="en-US"/>
        </w:rPr>
        <w:t xml:space="preserve"> A corporation may be licensed as a personal real estate corporation in accordance with this Part if it has all the following attributes: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it is either</w:t>
      </w:r>
    </w:p>
    <w:p w:rsidR="000A1682" w:rsidRPr="000A1682" w:rsidRDefault="000A1682" w:rsidP="000A1682">
      <w:pPr>
        <w:spacing w:before="72"/>
        <w:ind w:left="3600"/>
        <w:rPr>
          <w:rFonts w:ascii="Verdana" w:hAnsi="Verdana"/>
          <w:color w:val="000000"/>
          <w:sz w:val="22"/>
          <w:szCs w:val="22"/>
          <w:lang w:val="en-US"/>
        </w:rPr>
      </w:pPr>
      <w:r w:rsidRPr="000A1682">
        <w:rPr>
          <w:rFonts w:ascii="Verdana" w:hAnsi="Verdana"/>
          <w:color w:val="000000"/>
          <w:sz w:val="22"/>
          <w:szCs w:val="22"/>
          <w:lang w:val="en-US"/>
        </w:rPr>
        <w:t xml:space="preserve">(i) a company, within the meaning of the </w:t>
      </w:r>
      <w:r w:rsidRPr="000A1682">
        <w:rPr>
          <w:rFonts w:ascii="Verdana" w:hAnsi="Verdana"/>
          <w:i/>
          <w:iCs/>
          <w:color w:val="000000"/>
          <w:sz w:val="22"/>
          <w:szCs w:val="22"/>
          <w:lang w:val="en-US"/>
        </w:rPr>
        <w:t>Business Corporations Act</w:t>
      </w:r>
      <w:r w:rsidRPr="000A1682">
        <w:rPr>
          <w:rFonts w:ascii="Verdana" w:hAnsi="Verdana"/>
          <w:color w:val="000000"/>
          <w:sz w:val="22"/>
          <w:szCs w:val="22"/>
          <w:lang w:val="en-US"/>
        </w:rPr>
        <w:t xml:space="preserve">, or </w:t>
      </w:r>
    </w:p>
    <w:p w:rsidR="000A1682" w:rsidRPr="000A1682" w:rsidRDefault="000A1682" w:rsidP="000A1682">
      <w:pPr>
        <w:spacing w:before="72"/>
        <w:ind w:left="3600"/>
        <w:rPr>
          <w:rFonts w:ascii="Verdana" w:hAnsi="Verdana"/>
          <w:color w:val="000000"/>
          <w:sz w:val="22"/>
          <w:szCs w:val="22"/>
          <w:lang w:val="en-US"/>
        </w:rPr>
      </w:pPr>
      <w:r w:rsidRPr="000A1682">
        <w:rPr>
          <w:rFonts w:ascii="Verdana" w:hAnsi="Verdana"/>
          <w:color w:val="000000"/>
          <w:sz w:val="22"/>
          <w:szCs w:val="22"/>
          <w:lang w:val="en-US"/>
        </w:rPr>
        <w:t xml:space="preserve">(ii) an extraprovincial company, within the meaning of the </w:t>
      </w:r>
      <w:r w:rsidRPr="000A1682">
        <w:rPr>
          <w:rFonts w:ascii="Verdana" w:hAnsi="Verdana"/>
          <w:i/>
          <w:iCs/>
          <w:color w:val="000000"/>
          <w:sz w:val="22"/>
          <w:szCs w:val="22"/>
          <w:lang w:val="en-US"/>
        </w:rPr>
        <w:t>Business Corporations Act</w:t>
      </w:r>
      <w:r w:rsidRPr="000A1682">
        <w:rPr>
          <w:rFonts w:ascii="Verdana" w:hAnsi="Verdana"/>
          <w:color w:val="000000"/>
          <w:sz w:val="22"/>
          <w:szCs w:val="22"/>
          <w:lang w:val="en-US"/>
        </w:rPr>
        <w:t xml:space="preserve">, that has the capacity in its jurisdiction of incorporation to carry on the business of providing real estate services;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all the voting shares of the corporation are legally and beneficially owned by a single individual (the controlling individual);</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(c) the sole director of the corporation is the controlling individual;</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(d) the president, being the sole officer of the corporation, is the controlling individual;</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(e) each non-voting share, if applicable, is legally and beneficially owned by the controlling individual or an affiliated person of the controlling individual;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(f) the legal name of the corporation includes both, but nothing other than,</w:t>
      </w:r>
    </w:p>
    <w:p w:rsidR="000A1682" w:rsidRPr="000A1682" w:rsidRDefault="000A1682" w:rsidP="000A1682">
      <w:pPr>
        <w:spacing w:before="72"/>
        <w:ind w:left="3600"/>
        <w:rPr>
          <w:rFonts w:ascii="Verdana" w:hAnsi="Verdana"/>
          <w:color w:val="000000"/>
          <w:sz w:val="22"/>
          <w:szCs w:val="22"/>
          <w:lang w:val="en-US"/>
        </w:rPr>
      </w:pPr>
      <w:r w:rsidRPr="000A1682">
        <w:rPr>
          <w:rFonts w:ascii="Verdana" w:hAnsi="Verdana"/>
          <w:color w:val="000000"/>
          <w:sz w:val="22"/>
          <w:szCs w:val="22"/>
          <w:lang w:val="en-US"/>
        </w:rPr>
        <w:t>(i) the legal name, a recognizable short form of the legal name or the licensee name of the controlling individual, and</w:t>
      </w:r>
    </w:p>
    <w:p w:rsidR="000A1682" w:rsidRPr="000A1682" w:rsidRDefault="000A1682" w:rsidP="000A1682">
      <w:pPr>
        <w:spacing w:before="72"/>
        <w:ind w:left="3600"/>
        <w:rPr>
          <w:rFonts w:ascii="Verdana" w:hAnsi="Verdana"/>
          <w:color w:val="000000"/>
          <w:sz w:val="22"/>
          <w:szCs w:val="22"/>
          <w:lang w:val="en-US"/>
        </w:rPr>
      </w:pPr>
      <w:r w:rsidRPr="000A1682">
        <w:rPr>
          <w:rFonts w:ascii="Verdana" w:hAnsi="Verdana"/>
          <w:color w:val="000000"/>
          <w:sz w:val="22"/>
          <w:szCs w:val="22"/>
          <w:lang w:val="en-US"/>
        </w:rPr>
        <w:lastRenderedPageBreak/>
        <w:t>(ii) the term "personal real estate corporation".</w:t>
      </w:r>
    </w:p>
    <w:p w:rsidR="000A1682" w:rsidRPr="000A1682" w:rsidRDefault="000A1682" w:rsidP="000A1682">
      <w:pPr>
        <w:spacing w:before="168" w:after="168"/>
        <w:ind w:left="4080"/>
        <w:rPr>
          <w:rFonts w:ascii="Verdana" w:hAnsi="Verdana"/>
          <w:color w:val="000000"/>
          <w:sz w:val="18"/>
          <w:szCs w:val="18"/>
          <w:lang w:val="en-US"/>
        </w:rPr>
      </w:pPr>
      <w:r w:rsidRPr="000A1682">
        <w:rPr>
          <w:rFonts w:ascii="Verdana" w:hAnsi="Verdana"/>
          <w:color w:val="000000"/>
          <w:sz w:val="18"/>
          <w:szCs w:val="18"/>
          <w:lang w:val="en-US"/>
        </w:rPr>
        <w:t>[en. B.C. Reg. 17/2008, s. 2.]</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4" w:name="section10.4"/>
      <w:bookmarkEnd w:id="4"/>
      <w:r w:rsidRPr="000A1682">
        <w:rPr>
          <w:rFonts w:ascii="Verdana" w:hAnsi="Verdana"/>
          <w:b/>
          <w:bCs/>
          <w:color w:val="000000"/>
          <w:sz w:val="22"/>
          <w:szCs w:val="22"/>
          <w:lang w:val="en-US"/>
        </w:rPr>
        <w:t>Licensing of personal real estate corporation</w:t>
      </w:r>
      <w:r w:rsidRPr="000A1682">
        <w:rPr>
          <w:rFonts w:ascii="Verdana" w:hAnsi="Verdana"/>
          <w:b/>
          <w:bCs/>
          <w:color w:val="000000"/>
          <w:sz w:val="22"/>
          <w:szCs w:val="22"/>
          <w:lang w:val="en-US"/>
        </w:rPr>
        <w:br/>
      </w:r>
      <w:r w:rsidRPr="000A1682">
        <w:rPr>
          <w:rFonts w:ascii="Verdana" w:hAnsi="Verdana"/>
          <w:b/>
          <w:bCs/>
          <w:color w:val="000000"/>
          <w:sz w:val="22"/>
          <w:szCs w:val="22"/>
          <w:lang w:val="en-US"/>
        </w:rPr>
        <w:br/>
        <w:t xml:space="preserve">and its related controlling individual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t>10.4</w:t>
      </w:r>
      <w:r w:rsidRPr="000A1682">
        <w:rPr>
          <w:rFonts w:ascii="Verdana" w:hAnsi="Verdana"/>
          <w:color w:val="000000"/>
          <w:sz w:val="22"/>
          <w:szCs w:val="22"/>
          <w:lang w:val="en-US"/>
        </w:rPr>
        <w:t xml:space="preserve"> (1) A personal real estate corporation licence may be issued to a corporation that has the attributes described in section 10.3 only if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the controlling individual meets the experience requirements established by the rules, and</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at the same time as the corporation's licence is issued,</w:t>
      </w:r>
    </w:p>
    <w:p w:rsidR="000A1682" w:rsidRPr="000A1682" w:rsidRDefault="000A1682" w:rsidP="000A1682">
      <w:pPr>
        <w:spacing w:before="72"/>
        <w:ind w:left="3600"/>
        <w:rPr>
          <w:rFonts w:ascii="Verdana" w:hAnsi="Verdana"/>
          <w:color w:val="000000"/>
          <w:sz w:val="22"/>
          <w:szCs w:val="22"/>
          <w:lang w:val="en-US"/>
        </w:rPr>
      </w:pPr>
      <w:r w:rsidRPr="000A1682">
        <w:rPr>
          <w:rFonts w:ascii="Verdana" w:hAnsi="Verdana"/>
          <w:color w:val="000000"/>
          <w:sz w:val="22"/>
          <w:szCs w:val="22"/>
          <w:lang w:val="en-US"/>
        </w:rPr>
        <w:t>(i) the controlling individual is issued a licence that complies with subsection (4), or</w:t>
      </w:r>
    </w:p>
    <w:p w:rsidR="000A1682" w:rsidRPr="000A1682" w:rsidRDefault="000A1682" w:rsidP="000A1682">
      <w:pPr>
        <w:spacing w:before="72"/>
        <w:ind w:left="3600"/>
        <w:rPr>
          <w:rFonts w:ascii="Verdana" w:hAnsi="Verdana"/>
          <w:color w:val="000000"/>
          <w:sz w:val="22"/>
          <w:szCs w:val="22"/>
          <w:lang w:val="en-US"/>
        </w:rPr>
      </w:pPr>
      <w:r w:rsidRPr="000A1682">
        <w:rPr>
          <w:rFonts w:ascii="Verdana" w:hAnsi="Verdana"/>
          <w:color w:val="000000"/>
          <w:sz w:val="22"/>
          <w:szCs w:val="22"/>
          <w:lang w:val="en-US"/>
        </w:rPr>
        <w:t>(ii) the controlling individual's licence is amended to comply with that subsection.</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(2) A personal real estate corporation licence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must be at the same licence level as the licence of the controlling individual,</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must be for the same category of real estate services as the licence of the controlling individual,</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(c) must indicate the name of the controlling individual, and</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(d) in addition to the application of section 7 (4) </w:t>
      </w:r>
      <w:r w:rsidRPr="000A1682">
        <w:rPr>
          <w:rFonts w:ascii="Verdana" w:hAnsi="Verdana"/>
          <w:i/>
          <w:iCs/>
          <w:color w:val="000000"/>
          <w:sz w:val="22"/>
          <w:szCs w:val="22"/>
          <w:lang w:val="en-US"/>
        </w:rPr>
        <w:t>[related licensees subject to brokerage conditions and restrictions]</w:t>
      </w:r>
      <w:r w:rsidRPr="000A1682">
        <w:rPr>
          <w:rFonts w:ascii="Verdana" w:hAnsi="Verdana"/>
          <w:color w:val="000000"/>
          <w:sz w:val="22"/>
          <w:szCs w:val="22"/>
          <w:lang w:val="en-US"/>
        </w:rPr>
        <w:t xml:space="preserve"> of the Act, is subject to any conditions and restrictions that apply to the licence of the controlling individual. </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(3) A personal real estate corporation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lastRenderedPageBreak/>
        <w:t>(a) may be licensed only in relation to the same brokerage as the controlling individual, and</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must be engaged by that same brokerage to provide real estate services.</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(4) The licence of the controlling individual must indicate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(a) the licensee name of the personal real estate corporation by which the controlling individual is engaged to provide real estate services, and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the licensee name of the related brokerage of that corporation.</w:t>
      </w:r>
    </w:p>
    <w:p w:rsidR="000A1682" w:rsidRPr="000A1682" w:rsidRDefault="000A1682" w:rsidP="000A1682">
      <w:pPr>
        <w:spacing w:before="168" w:after="168"/>
        <w:ind w:left="4080"/>
        <w:rPr>
          <w:rFonts w:ascii="Verdana" w:hAnsi="Verdana"/>
          <w:color w:val="000000"/>
          <w:sz w:val="18"/>
          <w:szCs w:val="18"/>
          <w:lang w:val="en-US"/>
        </w:rPr>
      </w:pPr>
      <w:r w:rsidRPr="000A1682">
        <w:rPr>
          <w:rFonts w:ascii="Verdana" w:hAnsi="Verdana"/>
          <w:color w:val="000000"/>
          <w:sz w:val="18"/>
          <w:szCs w:val="18"/>
          <w:lang w:val="en-US"/>
        </w:rPr>
        <w:t>[en. B.C. Reg. 17/2008, s. 2.]</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5" w:name="section10.5"/>
      <w:bookmarkEnd w:id="5"/>
      <w:r w:rsidRPr="000A1682">
        <w:rPr>
          <w:rFonts w:ascii="Verdana" w:hAnsi="Verdana"/>
          <w:b/>
          <w:bCs/>
          <w:color w:val="000000"/>
          <w:sz w:val="22"/>
          <w:szCs w:val="22"/>
          <w:lang w:val="en-US"/>
        </w:rPr>
        <w:t xml:space="preserve">Application for personal real estate corporation licence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t>10.5</w:t>
      </w:r>
      <w:r w:rsidRPr="000A1682">
        <w:rPr>
          <w:rFonts w:ascii="Verdana" w:hAnsi="Verdana"/>
          <w:color w:val="000000"/>
          <w:sz w:val="22"/>
          <w:szCs w:val="22"/>
          <w:lang w:val="en-US"/>
        </w:rPr>
        <w:t xml:space="preserve"> (1) Without limiting section 9 of the Act, an application for a personal real estate corporation licence must be accompanied by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(a) evidence satisfactory to the real estate council that the applicant corporation meets all the requirements of section 10.3 </w:t>
      </w:r>
      <w:r w:rsidRPr="000A1682">
        <w:rPr>
          <w:rFonts w:ascii="Verdana" w:hAnsi="Verdana"/>
          <w:i/>
          <w:iCs/>
          <w:color w:val="000000"/>
          <w:sz w:val="22"/>
          <w:szCs w:val="22"/>
          <w:lang w:val="en-US"/>
        </w:rPr>
        <w:t>[corporate qualifications]</w:t>
      </w:r>
      <w:r w:rsidRPr="000A1682">
        <w:rPr>
          <w:rFonts w:ascii="Verdana" w:hAnsi="Verdana"/>
          <w:color w:val="000000"/>
          <w:sz w:val="22"/>
          <w:szCs w:val="22"/>
          <w:lang w:val="en-US"/>
        </w:rPr>
        <w:t xml:space="preserve">,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an application</w:t>
      </w:r>
    </w:p>
    <w:p w:rsidR="000A1682" w:rsidRPr="000A1682" w:rsidRDefault="000A1682" w:rsidP="000A1682">
      <w:pPr>
        <w:spacing w:before="72"/>
        <w:ind w:left="3600"/>
        <w:rPr>
          <w:rFonts w:ascii="Verdana" w:hAnsi="Verdana"/>
          <w:color w:val="000000"/>
          <w:sz w:val="22"/>
          <w:szCs w:val="22"/>
          <w:lang w:val="en-US"/>
        </w:rPr>
      </w:pPr>
      <w:r w:rsidRPr="000A1682">
        <w:rPr>
          <w:rFonts w:ascii="Verdana" w:hAnsi="Verdana"/>
          <w:color w:val="000000"/>
          <w:sz w:val="22"/>
          <w:szCs w:val="22"/>
          <w:lang w:val="en-US"/>
        </w:rPr>
        <w:t>(i) for a licence for the controlling individual, or</w:t>
      </w:r>
    </w:p>
    <w:p w:rsidR="000A1682" w:rsidRPr="000A1682" w:rsidRDefault="000A1682" w:rsidP="000A1682">
      <w:pPr>
        <w:spacing w:before="72"/>
        <w:ind w:left="3600"/>
        <w:rPr>
          <w:rFonts w:ascii="Verdana" w:hAnsi="Verdana"/>
          <w:color w:val="000000"/>
          <w:sz w:val="22"/>
          <w:szCs w:val="22"/>
          <w:lang w:val="en-US"/>
        </w:rPr>
      </w:pPr>
      <w:r w:rsidRPr="000A1682">
        <w:rPr>
          <w:rFonts w:ascii="Verdana" w:hAnsi="Verdana"/>
          <w:color w:val="000000"/>
          <w:sz w:val="22"/>
          <w:szCs w:val="22"/>
          <w:lang w:val="en-US"/>
        </w:rPr>
        <w:t xml:space="preserve">(ii) in the case of a controlling individual who is already licensed, to amend the licence of the controlling individual to comply with section 10.4 (4), and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(c) the written consent of the proposed related brokerage to the application.</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(2) Without limiting section 13 of the Act, the real estate council may refuse to issue a personal real estate corporation licence if the real estate council considers that it would not, in the circumstances, be in </w:t>
      </w:r>
      <w:r w:rsidRPr="000A1682">
        <w:rPr>
          <w:rFonts w:ascii="Verdana" w:hAnsi="Verdana"/>
          <w:color w:val="000000"/>
          <w:sz w:val="22"/>
          <w:szCs w:val="22"/>
          <w:lang w:val="en-US"/>
        </w:rPr>
        <w:lastRenderedPageBreak/>
        <w:t xml:space="preserve">the public interest for real estate services to be provided by the corporation. </w:t>
      </w:r>
    </w:p>
    <w:p w:rsidR="000A1682" w:rsidRPr="000A1682" w:rsidRDefault="000A1682" w:rsidP="000A1682">
      <w:pPr>
        <w:spacing w:before="168" w:after="168"/>
        <w:ind w:left="4080"/>
        <w:rPr>
          <w:rFonts w:ascii="Verdana" w:hAnsi="Verdana"/>
          <w:color w:val="000000"/>
          <w:sz w:val="18"/>
          <w:szCs w:val="18"/>
          <w:lang w:val="en-US"/>
        </w:rPr>
      </w:pPr>
      <w:r w:rsidRPr="000A1682">
        <w:rPr>
          <w:rFonts w:ascii="Verdana" w:hAnsi="Verdana"/>
          <w:color w:val="000000"/>
          <w:sz w:val="18"/>
          <w:szCs w:val="18"/>
          <w:lang w:val="en-US"/>
        </w:rPr>
        <w:t>[en. B.C. Reg. 17/2008, s. 2.]</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6" w:name="section10.6"/>
      <w:bookmarkEnd w:id="6"/>
      <w:r w:rsidRPr="000A1682">
        <w:rPr>
          <w:rFonts w:ascii="Verdana" w:hAnsi="Verdana"/>
          <w:b/>
          <w:bCs/>
          <w:color w:val="000000"/>
          <w:sz w:val="22"/>
          <w:szCs w:val="22"/>
          <w:lang w:val="en-US"/>
        </w:rPr>
        <w:t>Relationship between personal real estate corporation</w:t>
      </w:r>
      <w:r w:rsidRPr="000A1682">
        <w:rPr>
          <w:rFonts w:ascii="Verdana" w:hAnsi="Verdana"/>
          <w:b/>
          <w:bCs/>
          <w:color w:val="000000"/>
          <w:sz w:val="22"/>
          <w:szCs w:val="22"/>
          <w:lang w:val="en-US"/>
        </w:rPr>
        <w:br/>
      </w:r>
      <w:r w:rsidRPr="000A1682">
        <w:rPr>
          <w:rFonts w:ascii="Verdana" w:hAnsi="Verdana"/>
          <w:b/>
          <w:bCs/>
          <w:color w:val="000000"/>
          <w:sz w:val="22"/>
          <w:szCs w:val="22"/>
          <w:lang w:val="en-US"/>
        </w:rPr>
        <w:br/>
        <w:t xml:space="preserve">and controlling individual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t>10.6</w:t>
      </w:r>
      <w:r w:rsidRPr="000A1682">
        <w:rPr>
          <w:rFonts w:ascii="Verdana" w:hAnsi="Verdana"/>
          <w:color w:val="000000"/>
          <w:sz w:val="22"/>
          <w:szCs w:val="22"/>
          <w:lang w:val="en-US"/>
        </w:rPr>
        <w:t xml:space="preserve"> (1) Despite section 7 (1) (b), (3) and (5) of the Act, a controlling individual may be engaged by a personal real estate corporation to provide real estate services on behalf of a brokerage, and may receive remuneration in relation to those real estate services from the personal real estate corporation, if all the following requirements are met: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(a) the controlling individual and the personal real estate corporation have each obtained a licence in accordance with Part 2 of the Act and this Part;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the controlling individual is engaged by the personal real estate corporation;</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(c) the real estate services provided by the personal real estate corporation are provided only by the controlling individual;</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(d) any other persons engaged by the personal real estate corporation are not licensees;</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(e) the personal real estate corporation does not conduct any business other than the provision of real estate services and ancillary services directly associated with the provision of real estate services;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(f) the controlling individual and the personal real estate corporation otherwise comply with the requirements of this Part.</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lastRenderedPageBreak/>
        <w:t xml:space="preserve">(2) A controlling individual engaged by a personal real estate corporation in accordance with subsection (1) (b) is deemed, for the purposes of the Act, regulations, rules and bylaws, to be engaged by the related brokerage of the corporation, but must not in fact be engaged by that brokerage, or by any other brokerage, to provide real estate services. </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(3) The fact that a controlling individual is engaged by a personal real estate corporation to provide real estate services on behalf of a brokerage does not affect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the controlling individual's liability with respect to the provision of real estate services,</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the controlling individual's obligations and responsibilities to a client, or</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(c) the application of the provisions of the Act, this regulation, and the rules and bylaws to the controlling individual.</w:t>
      </w:r>
    </w:p>
    <w:p w:rsidR="000A1682" w:rsidRPr="000A1682" w:rsidRDefault="000A1682" w:rsidP="000A1682">
      <w:pPr>
        <w:spacing w:before="168" w:after="168"/>
        <w:ind w:left="4080"/>
        <w:rPr>
          <w:rFonts w:ascii="Verdana" w:hAnsi="Verdana"/>
          <w:color w:val="000000"/>
          <w:sz w:val="18"/>
          <w:szCs w:val="18"/>
          <w:lang w:val="en-US"/>
        </w:rPr>
      </w:pPr>
      <w:r w:rsidRPr="000A1682">
        <w:rPr>
          <w:rFonts w:ascii="Verdana" w:hAnsi="Verdana"/>
          <w:color w:val="000000"/>
          <w:sz w:val="18"/>
          <w:szCs w:val="18"/>
          <w:lang w:val="en-US"/>
        </w:rPr>
        <w:t>[en. B.C. Reg. 17/2008, s. 2.]</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7" w:name="section10.7"/>
      <w:bookmarkEnd w:id="7"/>
      <w:r w:rsidRPr="000A1682">
        <w:rPr>
          <w:rFonts w:ascii="Verdana" w:hAnsi="Verdana"/>
          <w:b/>
          <w:bCs/>
          <w:color w:val="000000"/>
          <w:sz w:val="22"/>
          <w:szCs w:val="22"/>
          <w:lang w:val="en-US"/>
        </w:rPr>
        <w:t xml:space="preserve">Corporation must maintain attributes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t>10.7</w:t>
      </w:r>
      <w:r w:rsidRPr="000A1682">
        <w:rPr>
          <w:rFonts w:ascii="Verdana" w:hAnsi="Verdana"/>
          <w:color w:val="000000"/>
          <w:sz w:val="22"/>
          <w:szCs w:val="22"/>
          <w:lang w:val="en-US"/>
        </w:rPr>
        <w:t xml:space="preserve"> (1) A personal real estate corporation must continue to maintain the attributes described in section 10.3. </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(2) If a personal real estate corporation ceases to have any of the attributes described in section 10.3, the licence of the corporation becomes inoperative. </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(3) On application of a personal real estate corporation whose licence has become inoperative under subsection (2), the real estate council may reinstate the licence if it is satisfied that the corporation meets all of the requirements of section 10.3. </w:t>
      </w:r>
    </w:p>
    <w:p w:rsidR="000A1682" w:rsidRPr="000A1682" w:rsidRDefault="000A1682" w:rsidP="000A1682">
      <w:pPr>
        <w:spacing w:before="168" w:after="168"/>
        <w:ind w:left="4080"/>
        <w:rPr>
          <w:rFonts w:ascii="Verdana" w:hAnsi="Verdana"/>
          <w:color w:val="000000"/>
          <w:sz w:val="18"/>
          <w:szCs w:val="18"/>
          <w:lang w:val="en-US"/>
        </w:rPr>
      </w:pPr>
      <w:r w:rsidRPr="000A1682">
        <w:rPr>
          <w:rFonts w:ascii="Verdana" w:hAnsi="Verdana"/>
          <w:color w:val="000000"/>
          <w:sz w:val="18"/>
          <w:szCs w:val="18"/>
          <w:lang w:val="en-US"/>
        </w:rPr>
        <w:t>[en. B.C. Reg. 17/2008, s. 2.]</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8" w:name="section10.8"/>
      <w:bookmarkEnd w:id="8"/>
      <w:r w:rsidRPr="000A1682">
        <w:rPr>
          <w:rFonts w:ascii="Verdana" w:hAnsi="Verdana"/>
          <w:b/>
          <w:bCs/>
          <w:color w:val="000000"/>
          <w:sz w:val="22"/>
          <w:szCs w:val="22"/>
          <w:lang w:val="en-US"/>
        </w:rPr>
        <w:lastRenderedPageBreak/>
        <w:t>Licences of corporation and controlling individual</w:t>
      </w:r>
      <w:r w:rsidRPr="000A1682">
        <w:rPr>
          <w:rFonts w:ascii="Verdana" w:hAnsi="Verdana"/>
          <w:b/>
          <w:bCs/>
          <w:color w:val="000000"/>
          <w:sz w:val="22"/>
          <w:szCs w:val="22"/>
          <w:lang w:val="en-US"/>
        </w:rPr>
        <w:br/>
      </w:r>
      <w:r w:rsidRPr="000A1682">
        <w:rPr>
          <w:rFonts w:ascii="Verdana" w:hAnsi="Verdana"/>
          <w:b/>
          <w:bCs/>
          <w:color w:val="000000"/>
          <w:sz w:val="22"/>
          <w:szCs w:val="22"/>
          <w:lang w:val="en-US"/>
        </w:rPr>
        <w:br/>
        <w:t xml:space="preserve">to reflect each other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t>10.8</w:t>
      </w:r>
      <w:r w:rsidRPr="000A1682">
        <w:rPr>
          <w:rFonts w:ascii="Verdana" w:hAnsi="Verdana"/>
          <w:color w:val="000000"/>
          <w:sz w:val="22"/>
          <w:szCs w:val="22"/>
          <w:lang w:val="en-US"/>
        </w:rPr>
        <w:t xml:space="preserve"> (1) The real estate council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(a) may amend the licence of a personal real estate corporation to reflect the conditions and restrictions applicable to the licence of the controlling individual, and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 xml:space="preserve">(b) may amend the licence of a controlling individual to reflect the conditions and restrictions applicable to the licence of the personal real estate corporation. </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(2) If the licence of a controlling individual is suspended or cancelled, the licence of the controlling individual's personal real estate corporation is suspended or cancelled as of the time at which the controlling individual's licence is suspended or cancelled. </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(3) If the licence of a personal real estate corporation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is suspended or cancelled, or</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becomes inoperative under section 22 (1) of the Act or section 10.7 (2) of this regulation,</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the licence of the controlling individual is suspended or cancelled, or becomes inoperative, as the case may be, as of the time at which the personal real estate corporation's licence is suspended or cancelled, or becomes inoperative. </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(4) If the real estate council reinstates a personal real estate corporation licence under section 22 (2) of the Act or section 10.7 (3) of this regulation, it must reinstate, with any necessary amendment, the controlling individual's licence that became inoperative under subsection (3) of this section. </w:t>
      </w:r>
    </w:p>
    <w:p w:rsidR="000A1682" w:rsidRPr="000A1682" w:rsidRDefault="000A1682" w:rsidP="000A1682">
      <w:pPr>
        <w:spacing w:before="168" w:after="168"/>
        <w:ind w:left="4080"/>
        <w:rPr>
          <w:rFonts w:ascii="Verdana" w:hAnsi="Verdana"/>
          <w:color w:val="000000"/>
          <w:sz w:val="18"/>
          <w:szCs w:val="18"/>
          <w:lang w:val="en-US"/>
        </w:rPr>
      </w:pPr>
      <w:r w:rsidRPr="000A1682">
        <w:rPr>
          <w:rFonts w:ascii="Verdana" w:hAnsi="Verdana"/>
          <w:color w:val="000000"/>
          <w:sz w:val="18"/>
          <w:szCs w:val="18"/>
          <w:lang w:val="en-US"/>
        </w:rPr>
        <w:t>[en. B.C. Reg. 17/2008, s. 2.]</w:t>
      </w:r>
    </w:p>
    <w:p w:rsidR="000A1682" w:rsidRPr="000A1682" w:rsidRDefault="000A1682" w:rsidP="000A1682">
      <w:pPr>
        <w:spacing w:before="360" w:line="288" w:lineRule="atLeast"/>
        <w:outlineLvl w:val="3"/>
        <w:rPr>
          <w:rFonts w:ascii="Verdana" w:hAnsi="Verdana"/>
          <w:b/>
          <w:bCs/>
          <w:color w:val="000000"/>
          <w:sz w:val="22"/>
          <w:szCs w:val="22"/>
          <w:lang w:val="en-US"/>
        </w:rPr>
      </w:pPr>
      <w:bookmarkStart w:id="9" w:name="section10.9"/>
      <w:bookmarkEnd w:id="9"/>
      <w:r w:rsidRPr="000A1682">
        <w:rPr>
          <w:rFonts w:ascii="Verdana" w:hAnsi="Verdana"/>
          <w:b/>
          <w:bCs/>
          <w:color w:val="000000"/>
          <w:sz w:val="22"/>
          <w:szCs w:val="22"/>
          <w:lang w:val="en-US"/>
        </w:rPr>
        <w:t xml:space="preserve">Application of discipline and enforcement provisions </w:t>
      </w:r>
    </w:p>
    <w:p w:rsidR="000A1682" w:rsidRPr="000A1682" w:rsidRDefault="000A1682" w:rsidP="000A1682">
      <w:pPr>
        <w:spacing w:before="168" w:after="168"/>
        <w:ind w:left="1416" w:hanging="912"/>
        <w:rPr>
          <w:rFonts w:ascii="Verdana" w:hAnsi="Verdana"/>
          <w:color w:val="000000"/>
          <w:sz w:val="22"/>
          <w:szCs w:val="22"/>
          <w:lang w:val="en-US"/>
        </w:rPr>
      </w:pPr>
      <w:r w:rsidRPr="000A1682">
        <w:rPr>
          <w:rFonts w:ascii="Courier New" w:hAnsi="Courier New" w:cs="Courier New"/>
          <w:b/>
          <w:bCs/>
          <w:color w:val="000000"/>
          <w:sz w:val="29"/>
          <w:szCs w:val="29"/>
          <w:lang w:val="en-US"/>
        </w:rPr>
        <w:lastRenderedPageBreak/>
        <w:t>10.9</w:t>
      </w:r>
      <w:r w:rsidRPr="000A1682">
        <w:rPr>
          <w:rFonts w:ascii="Verdana" w:hAnsi="Verdana"/>
          <w:color w:val="000000"/>
          <w:sz w:val="22"/>
          <w:szCs w:val="22"/>
          <w:lang w:val="en-US"/>
        </w:rPr>
        <w:t xml:space="preserve"> (1) If a personal real estate corporation commits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professional misconduct, or</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conduct unbecoming a licensee,</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the controlling individual is subject to discipline proceedings and other regulatory enforcement under Part 4 of the Act in relation to that conduct as if the controlling individual had committed the conduct. </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 xml:space="preserve">(2) If a controlling individual commits </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(a) professional misconduct, or</w:t>
      </w:r>
    </w:p>
    <w:p w:rsidR="000A1682" w:rsidRPr="000A1682" w:rsidRDefault="000A1682" w:rsidP="000A1682">
      <w:pPr>
        <w:spacing w:before="120"/>
        <w:ind w:left="2880"/>
        <w:rPr>
          <w:rFonts w:ascii="Verdana" w:hAnsi="Verdana"/>
          <w:color w:val="000000"/>
          <w:sz w:val="22"/>
          <w:szCs w:val="22"/>
          <w:lang w:val="en-US"/>
        </w:rPr>
      </w:pPr>
      <w:r w:rsidRPr="000A1682">
        <w:rPr>
          <w:rFonts w:ascii="Verdana" w:hAnsi="Verdana"/>
          <w:color w:val="000000"/>
          <w:sz w:val="22"/>
          <w:szCs w:val="22"/>
          <w:lang w:val="en-US"/>
        </w:rPr>
        <w:t>(b) conduct unbecoming a licensee,</w:t>
      </w:r>
    </w:p>
    <w:p w:rsidR="000A1682" w:rsidRPr="000A1682" w:rsidRDefault="000A1682" w:rsidP="000A1682">
      <w:pPr>
        <w:spacing w:before="144"/>
        <w:ind w:left="1392"/>
        <w:rPr>
          <w:rFonts w:ascii="Verdana" w:hAnsi="Verdana"/>
          <w:color w:val="000000"/>
          <w:sz w:val="22"/>
          <w:szCs w:val="22"/>
          <w:lang w:val="en-US"/>
        </w:rPr>
      </w:pPr>
      <w:r w:rsidRPr="000A1682">
        <w:rPr>
          <w:rFonts w:ascii="Verdana" w:hAnsi="Verdana"/>
          <w:color w:val="000000"/>
          <w:sz w:val="22"/>
          <w:szCs w:val="22"/>
          <w:lang w:val="en-US"/>
        </w:rPr>
        <w:t>the personal real estate corporation is subject to discipline proceedings and other regulatory enforcement under Part 4 of the Act in relation to that conduct as if the personal real estate corporation had committed the conduct.</w:t>
      </w:r>
    </w:p>
    <w:p w:rsidR="000A1682" w:rsidRPr="000A1682" w:rsidRDefault="000A1682" w:rsidP="000A1682">
      <w:pPr>
        <w:autoSpaceDE w:val="0"/>
        <w:autoSpaceDN w:val="0"/>
        <w:adjustRightInd w:val="0"/>
        <w:rPr>
          <w:rFonts w:ascii="Arial" w:hAnsi="Arial" w:cs="Arial"/>
          <w:lang w:val="en-US"/>
        </w:rPr>
      </w:pPr>
    </w:p>
    <w:p w:rsidR="00AF5645" w:rsidRPr="00BB5D86" w:rsidRDefault="00AF5645" w:rsidP="00BB5D86"/>
    <w:sectPr w:rsidR="00AF5645" w:rsidRPr="00BB5D86" w:rsidSect="00687994">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1F" w:rsidRDefault="00A61B1F" w:rsidP="00A25106">
      <w:r>
        <w:separator/>
      </w:r>
    </w:p>
  </w:endnote>
  <w:endnote w:type="continuationSeparator" w:id="0">
    <w:p w:rsidR="00A61B1F" w:rsidRDefault="00A61B1F" w:rsidP="00A25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9E" w:rsidRDefault="00DF74A1" w:rsidP="00077AD9">
    <w:pPr>
      <w:pStyle w:val="Footer"/>
      <w:pBdr>
        <w:top w:val="single" w:sz="4" w:space="1" w:color="D9D9D9"/>
      </w:pBdr>
      <w:jc w:val="right"/>
    </w:pPr>
    <w:r>
      <w:t xml:space="preserve">404-999 Canada Place, Vancouver, BC V6C 3E2                                                                                              </w:t>
    </w:r>
    <w:fldSimple w:instr=" PAGE   \* MERGEFORMAT ">
      <w:r w:rsidR="00E014F1">
        <w:rPr>
          <w:noProof/>
        </w:rPr>
        <w:t>1</w:t>
      </w:r>
    </w:fldSimple>
    <w:r w:rsidR="008F429E">
      <w:t xml:space="preserve"> | </w:t>
    </w:r>
    <w:r w:rsidR="008F429E" w:rsidRPr="00077AD9">
      <w:rPr>
        <w:color w:val="808080"/>
        <w:spacing w:val="60"/>
      </w:rPr>
      <w:t>Page</w:t>
    </w:r>
  </w:p>
  <w:p w:rsidR="008F429E" w:rsidRPr="00BF77D6" w:rsidRDefault="008F429E" w:rsidP="00687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1F" w:rsidRDefault="00A61B1F" w:rsidP="00A25106">
      <w:r>
        <w:separator/>
      </w:r>
    </w:p>
  </w:footnote>
  <w:footnote w:type="continuationSeparator" w:id="0">
    <w:p w:rsidR="00A61B1F" w:rsidRDefault="00A61B1F" w:rsidP="00A25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9E" w:rsidRPr="00107A95" w:rsidRDefault="008F429E" w:rsidP="00107A95">
    <w:pPr>
      <w:pStyle w:val="Header"/>
      <w:jc w:val="right"/>
      <w:rPr>
        <w:color w:val="17365D"/>
        <w:sz w:val="16"/>
        <w:szCs w:val="16"/>
      </w:rPr>
    </w:pPr>
  </w:p>
  <w:p w:rsidR="008F429E" w:rsidRDefault="008F4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E58F3"/>
    <w:multiLevelType w:val="hybridMultilevel"/>
    <w:tmpl w:val="4426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25106"/>
    <w:rsid w:val="000002A0"/>
    <w:rsid w:val="000010A7"/>
    <w:rsid w:val="00002B19"/>
    <w:rsid w:val="00005B61"/>
    <w:rsid w:val="00006AC6"/>
    <w:rsid w:val="00006DF4"/>
    <w:rsid w:val="00006FA0"/>
    <w:rsid w:val="00007682"/>
    <w:rsid w:val="000076A5"/>
    <w:rsid w:val="00007DA2"/>
    <w:rsid w:val="00010418"/>
    <w:rsid w:val="00010B4D"/>
    <w:rsid w:val="00010B95"/>
    <w:rsid w:val="000112BF"/>
    <w:rsid w:val="0001173B"/>
    <w:rsid w:val="00012012"/>
    <w:rsid w:val="00012939"/>
    <w:rsid w:val="000135A7"/>
    <w:rsid w:val="00013712"/>
    <w:rsid w:val="00013D91"/>
    <w:rsid w:val="00013F6A"/>
    <w:rsid w:val="00014757"/>
    <w:rsid w:val="00014F62"/>
    <w:rsid w:val="00015ED9"/>
    <w:rsid w:val="0001635A"/>
    <w:rsid w:val="000163BB"/>
    <w:rsid w:val="000171B8"/>
    <w:rsid w:val="00017411"/>
    <w:rsid w:val="000177AE"/>
    <w:rsid w:val="00017AB7"/>
    <w:rsid w:val="00017D68"/>
    <w:rsid w:val="000205FE"/>
    <w:rsid w:val="00020A85"/>
    <w:rsid w:val="00021F46"/>
    <w:rsid w:val="00023CAD"/>
    <w:rsid w:val="00024B94"/>
    <w:rsid w:val="00025465"/>
    <w:rsid w:val="000256FD"/>
    <w:rsid w:val="000258DE"/>
    <w:rsid w:val="00026144"/>
    <w:rsid w:val="00026748"/>
    <w:rsid w:val="00026AF9"/>
    <w:rsid w:val="000305A1"/>
    <w:rsid w:val="00030E61"/>
    <w:rsid w:val="000315BC"/>
    <w:rsid w:val="00031794"/>
    <w:rsid w:val="0003392C"/>
    <w:rsid w:val="00037635"/>
    <w:rsid w:val="00037AF9"/>
    <w:rsid w:val="00040410"/>
    <w:rsid w:val="00040A03"/>
    <w:rsid w:val="00041166"/>
    <w:rsid w:val="00041350"/>
    <w:rsid w:val="0004140E"/>
    <w:rsid w:val="00041B85"/>
    <w:rsid w:val="00042010"/>
    <w:rsid w:val="00042387"/>
    <w:rsid w:val="000423D0"/>
    <w:rsid w:val="00042847"/>
    <w:rsid w:val="000432C5"/>
    <w:rsid w:val="000437EE"/>
    <w:rsid w:val="0004395D"/>
    <w:rsid w:val="00043AA6"/>
    <w:rsid w:val="00044C2B"/>
    <w:rsid w:val="00045427"/>
    <w:rsid w:val="0004542D"/>
    <w:rsid w:val="0004597B"/>
    <w:rsid w:val="00045AF9"/>
    <w:rsid w:val="00047353"/>
    <w:rsid w:val="00050210"/>
    <w:rsid w:val="0005030A"/>
    <w:rsid w:val="0005078A"/>
    <w:rsid w:val="00050DB5"/>
    <w:rsid w:val="000515ED"/>
    <w:rsid w:val="00051975"/>
    <w:rsid w:val="0005199D"/>
    <w:rsid w:val="00051B4B"/>
    <w:rsid w:val="00051B93"/>
    <w:rsid w:val="00052B71"/>
    <w:rsid w:val="00052C41"/>
    <w:rsid w:val="00053460"/>
    <w:rsid w:val="00053A82"/>
    <w:rsid w:val="0005422A"/>
    <w:rsid w:val="00054394"/>
    <w:rsid w:val="00055097"/>
    <w:rsid w:val="000550EF"/>
    <w:rsid w:val="00057214"/>
    <w:rsid w:val="00057EE9"/>
    <w:rsid w:val="000604B9"/>
    <w:rsid w:val="0006094E"/>
    <w:rsid w:val="00060D2E"/>
    <w:rsid w:val="00061129"/>
    <w:rsid w:val="00062B1C"/>
    <w:rsid w:val="00063689"/>
    <w:rsid w:val="000654A9"/>
    <w:rsid w:val="00067AFA"/>
    <w:rsid w:val="00067B33"/>
    <w:rsid w:val="000701E3"/>
    <w:rsid w:val="0007041E"/>
    <w:rsid w:val="00071D06"/>
    <w:rsid w:val="00071FFB"/>
    <w:rsid w:val="00074ABE"/>
    <w:rsid w:val="000755C1"/>
    <w:rsid w:val="00075E29"/>
    <w:rsid w:val="000768C1"/>
    <w:rsid w:val="0007745F"/>
    <w:rsid w:val="00077AD9"/>
    <w:rsid w:val="00077C56"/>
    <w:rsid w:val="000801AB"/>
    <w:rsid w:val="0008173C"/>
    <w:rsid w:val="00081BC9"/>
    <w:rsid w:val="00082328"/>
    <w:rsid w:val="000825A0"/>
    <w:rsid w:val="00082EC4"/>
    <w:rsid w:val="00084AF9"/>
    <w:rsid w:val="00085719"/>
    <w:rsid w:val="00085FF3"/>
    <w:rsid w:val="00087285"/>
    <w:rsid w:val="00087322"/>
    <w:rsid w:val="0008768C"/>
    <w:rsid w:val="000917CD"/>
    <w:rsid w:val="00091984"/>
    <w:rsid w:val="00091B62"/>
    <w:rsid w:val="00091DBC"/>
    <w:rsid w:val="00092299"/>
    <w:rsid w:val="0009246B"/>
    <w:rsid w:val="000929F3"/>
    <w:rsid w:val="00093A2D"/>
    <w:rsid w:val="0009434C"/>
    <w:rsid w:val="000943F3"/>
    <w:rsid w:val="00094801"/>
    <w:rsid w:val="0009515E"/>
    <w:rsid w:val="00095D81"/>
    <w:rsid w:val="000962E5"/>
    <w:rsid w:val="00096387"/>
    <w:rsid w:val="000965D1"/>
    <w:rsid w:val="00096A05"/>
    <w:rsid w:val="000970DF"/>
    <w:rsid w:val="00097151"/>
    <w:rsid w:val="00097408"/>
    <w:rsid w:val="000977F6"/>
    <w:rsid w:val="000A0FD5"/>
    <w:rsid w:val="000A1682"/>
    <w:rsid w:val="000A1A31"/>
    <w:rsid w:val="000A1EE4"/>
    <w:rsid w:val="000A2DC0"/>
    <w:rsid w:val="000A30FC"/>
    <w:rsid w:val="000A3511"/>
    <w:rsid w:val="000A355F"/>
    <w:rsid w:val="000A3BAE"/>
    <w:rsid w:val="000A3BFF"/>
    <w:rsid w:val="000A3EA6"/>
    <w:rsid w:val="000A459C"/>
    <w:rsid w:val="000A50C8"/>
    <w:rsid w:val="000B265C"/>
    <w:rsid w:val="000B289C"/>
    <w:rsid w:val="000B31A3"/>
    <w:rsid w:val="000B3C6C"/>
    <w:rsid w:val="000B41CC"/>
    <w:rsid w:val="000B4523"/>
    <w:rsid w:val="000B4951"/>
    <w:rsid w:val="000B5255"/>
    <w:rsid w:val="000B61F2"/>
    <w:rsid w:val="000B74B8"/>
    <w:rsid w:val="000B7D78"/>
    <w:rsid w:val="000C0474"/>
    <w:rsid w:val="000C19B8"/>
    <w:rsid w:val="000C1AE8"/>
    <w:rsid w:val="000C297B"/>
    <w:rsid w:val="000C2EB0"/>
    <w:rsid w:val="000C43EF"/>
    <w:rsid w:val="000C4D98"/>
    <w:rsid w:val="000C53DE"/>
    <w:rsid w:val="000C585B"/>
    <w:rsid w:val="000C5CFD"/>
    <w:rsid w:val="000C5D39"/>
    <w:rsid w:val="000C6158"/>
    <w:rsid w:val="000C7A5A"/>
    <w:rsid w:val="000D035B"/>
    <w:rsid w:val="000D04F4"/>
    <w:rsid w:val="000D0803"/>
    <w:rsid w:val="000D0B69"/>
    <w:rsid w:val="000D1BA4"/>
    <w:rsid w:val="000D24F8"/>
    <w:rsid w:val="000D284D"/>
    <w:rsid w:val="000D3AC5"/>
    <w:rsid w:val="000D44D4"/>
    <w:rsid w:val="000D5B47"/>
    <w:rsid w:val="000D7632"/>
    <w:rsid w:val="000D79A0"/>
    <w:rsid w:val="000D79AF"/>
    <w:rsid w:val="000E02ED"/>
    <w:rsid w:val="000E04A2"/>
    <w:rsid w:val="000E0E9E"/>
    <w:rsid w:val="000E1CBB"/>
    <w:rsid w:val="000E1D0A"/>
    <w:rsid w:val="000E2069"/>
    <w:rsid w:val="000E3927"/>
    <w:rsid w:val="000E46F2"/>
    <w:rsid w:val="000E5897"/>
    <w:rsid w:val="000E64C2"/>
    <w:rsid w:val="000E6A48"/>
    <w:rsid w:val="000E6AA5"/>
    <w:rsid w:val="000E6E6A"/>
    <w:rsid w:val="000F02FE"/>
    <w:rsid w:val="000F0ADC"/>
    <w:rsid w:val="000F2FE0"/>
    <w:rsid w:val="000F3520"/>
    <w:rsid w:val="000F37CF"/>
    <w:rsid w:val="000F3A0C"/>
    <w:rsid w:val="000F3EFF"/>
    <w:rsid w:val="000F4715"/>
    <w:rsid w:val="000F4A25"/>
    <w:rsid w:val="000F604A"/>
    <w:rsid w:val="000F6E9F"/>
    <w:rsid w:val="000F70F2"/>
    <w:rsid w:val="000F7968"/>
    <w:rsid w:val="00100C54"/>
    <w:rsid w:val="00100E15"/>
    <w:rsid w:val="00101185"/>
    <w:rsid w:val="00101223"/>
    <w:rsid w:val="00101C01"/>
    <w:rsid w:val="001036E8"/>
    <w:rsid w:val="001046CF"/>
    <w:rsid w:val="00104700"/>
    <w:rsid w:val="001058D8"/>
    <w:rsid w:val="00106767"/>
    <w:rsid w:val="00107476"/>
    <w:rsid w:val="00107A01"/>
    <w:rsid w:val="00107A95"/>
    <w:rsid w:val="00107D28"/>
    <w:rsid w:val="001101B1"/>
    <w:rsid w:val="00110317"/>
    <w:rsid w:val="001115B8"/>
    <w:rsid w:val="00112C48"/>
    <w:rsid w:val="00113216"/>
    <w:rsid w:val="001136EC"/>
    <w:rsid w:val="001146C4"/>
    <w:rsid w:val="00115148"/>
    <w:rsid w:val="00115247"/>
    <w:rsid w:val="001153B8"/>
    <w:rsid w:val="0011547E"/>
    <w:rsid w:val="001155CD"/>
    <w:rsid w:val="001157DB"/>
    <w:rsid w:val="001160F0"/>
    <w:rsid w:val="001161CA"/>
    <w:rsid w:val="00116BAE"/>
    <w:rsid w:val="00117A7F"/>
    <w:rsid w:val="00121475"/>
    <w:rsid w:val="0012189A"/>
    <w:rsid w:val="0012202F"/>
    <w:rsid w:val="00122841"/>
    <w:rsid w:val="001234FC"/>
    <w:rsid w:val="00123E6A"/>
    <w:rsid w:val="00124257"/>
    <w:rsid w:val="001243C4"/>
    <w:rsid w:val="001266F2"/>
    <w:rsid w:val="00126763"/>
    <w:rsid w:val="001274A3"/>
    <w:rsid w:val="001303C5"/>
    <w:rsid w:val="00130824"/>
    <w:rsid w:val="001313B4"/>
    <w:rsid w:val="00131CDE"/>
    <w:rsid w:val="00133315"/>
    <w:rsid w:val="001335CC"/>
    <w:rsid w:val="00134687"/>
    <w:rsid w:val="00134750"/>
    <w:rsid w:val="00135897"/>
    <w:rsid w:val="00135CC2"/>
    <w:rsid w:val="00135E85"/>
    <w:rsid w:val="00136B16"/>
    <w:rsid w:val="00136F3D"/>
    <w:rsid w:val="0013751A"/>
    <w:rsid w:val="0014039A"/>
    <w:rsid w:val="00140632"/>
    <w:rsid w:val="00140DF9"/>
    <w:rsid w:val="001420BE"/>
    <w:rsid w:val="001420F1"/>
    <w:rsid w:val="00142A23"/>
    <w:rsid w:val="00142A33"/>
    <w:rsid w:val="00142E56"/>
    <w:rsid w:val="00142F28"/>
    <w:rsid w:val="001432C2"/>
    <w:rsid w:val="00144715"/>
    <w:rsid w:val="001448CC"/>
    <w:rsid w:val="00147375"/>
    <w:rsid w:val="001500DB"/>
    <w:rsid w:val="00150176"/>
    <w:rsid w:val="00150FE7"/>
    <w:rsid w:val="00151876"/>
    <w:rsid w:val="00151910"/>
    <w:rsid w:val="00152413"/>
    <w:rsid w:val="00152B4D"/>
    <w:rsid w:val="001532BD"/>
    <w:rsid w:val="0015349B"/>
    <w:rsid w:val="0015380C"/>
    <w:rsid w:val="001538CC"/>
    <w:rsid w:val="001542D6"/>
    <w:rsid w:val="00154664"/>
    <w:rsid w:val="001560FE"/>
    <w:rsid w:val="001567E6"/>
    <w:rsid w:val="00156E3D"/>
    <w:rsid w:val="00157818"/>
    <w:rsid w:val="001578EC"/>
    <w:rsid w:val="00157C8F"/>
    <w:rsid w:val="00157ED8"/>
    <w:rsid w:val="00157F48"/>
    <w:rsid w:val="00160B50"/>
    <w:rsid w:val="00160C58"/>
    <w:rsid w:val="00160EC2"/>
    <w:rsid w:val="001613B5"/>
    <w:rsid w:val="001621DD"/>
    <w:rsid w:val="00162CE0"/>
    <w:rsid w:val="00166B15"/>
    <w:rsid w:val="001701B6"/>
    <w:rsid w:val="001703AB"/>
    <w:rsid w:val="00171437"/>
    <w:rsid w:val="0017199B"/>
    <w:rsid w:val="00172652"/>
    <w:rsid w:val="0017288A"/>
    <w:rsid w:val="00173393"/>
    <w:rsid w:val="001742C4"/>
    <w:rsid w:val="0017494B"/>
    <w:rsid w:val="00174EB4"/>
    <w:rsid w:val="00175331"/>
    <w:rsid w:val="00176220"/>
    <w:rsid w:val="00176480"/>
    <w:rsid w:val="00176D72"/>
    <w:rsid w:val="00177C49"/>
    <w:rsid w:val="00177CF1"/>
    <w:rsid w:val="001812C4"/>
    <w:rsid w:val="00182A6C"/>
    <w:rsid w:val="00182D6F"/>
    <w:rsid w:val="00182D92"/>
    <w:rsid w:val="00182EFF"/>
    <w:rsid w:val="00186F2A"/>
    <w:rsid w:val="0019028F"/>
    <w:rsid w:val="00190D8E"/>
    <w:rsid w:val="00190DA2"/>
    <w:rsid w:val="00190F7F"/>
    <w:rsid w:val="00191510"/>
    <w:rsid w:val="00191731"/>
    <w:rsid w:val="00191A78"/>
    <w:rsid w:val="001930F5"/>
    <w:rsid w:val="001934FC"/>
    <w:rsid w:val="0019392D"/>
    <w:rsid w:val="00193D75"/>
    <w:rsid w:val="00194E6B"/>
    <w:rsid w:val="001955A9"/>
    <w:rsid w:val="001955E0"/>
    <w:rsid w:val="00195AC4"/>
    <w:rsid w:val="00195CA2"/>
    <w:rsid w:val="00196C9C"/>
    <w:rsid w:val="00196D52"/>
    <w:rsid w:val="001970BD"/>
    <w:rsid w:val="001A053F"/>
    <w:rsid w:val="001A09F6"/>
    <w:rsid w:val="001A0BB8"/>
    <w:rsid w:val="001A1620"/>
    <w:rsid w:val="001A19CB"/>
    <w:rsid w:val="001A1D32"/>
    <w:rsid w:val="001A308D"/>
    <w:rsid w:val="001A31F8"/>
    <w:rsid w:val="001A342A"/>
    <w:rsid w:val="001A34EA"/>
    <w:rsid w:val="001A5A38"/>
    <w:rsid w:val="001A5B1F"/>
    <w:rsid w:val="001A5DD7"/>
    <w:rsid w:val="001A6092"/>
    <w:rsid w:val="001A6405"/>
    <w:rsid w:val="001A67BA"/>
    <w:rsid w:val="001A69B4"/>
    <w:rsid w:val="001A7861"/>
    <w:rsid w:val="001A7F54"/>
    <w:rsid w:val="001B0D1D"/>
    <w:rsid w:val="001B1931"/>
    <w:rsid w:val="001B1945"/>
    <w:rsid w:val="001B1DDB"/>
    <w:rsid w:val="001B2588"/>
    <w:rsid w:val="001B2591"/>
    <w:rsid w:val="001B2BFE"/>
    <w:rsid w:val="001B3B21"/>
    <w:rsid w:val="001B4A4D"/>
    <w:rsid w:val="001B5004"/>
    <w:rsid w:val="001B50EB"/>
    <w:rsid w:val="001B539E"/>
    <w:rsid w:val="001B6B4E"/>
    <w:rsid w:val="001B75EB"/>
    <w:rsid w:val="001B7EF6"/>
    <w:rsid w:val="001C1FD4"/>
    <w:rsid w:val="001C2C99"/>
    <w:rsid w:val="001C31FE"/>
    <w:rsid w:val="001C3B82"/>
    <w:rsid w:val="001C5089"/>
    <w:rsid w:val="001C54DA"/>
    <w:rsid w:val="001C5D2E"/>
    <w:rsid w:val="001C6665"/>
    <w:rsid w:val="001C6AD1"/>
    <w:rsid w:val="001C6F4C"/>
    <w:rsid w:val="001C7D2A"/>
    <w:rsid w:val="001D082D"/>
    <w:rsid w:val="001D0CDA"/>
    <w:rsid w:val="001D0E02"/>
    <w:rsid w:val="001D1464"/>
    <w:rsid w:val="001D1C6D"/>
    <w:rsid w:val="001D29A0"/>
    <w:rsid w:val="001D4EE0"/>
    <w:rsid w:val="001D5041"/>
    <w:rsid w:val="001D564F"/>
    <w:rsid w:val="001D5825"/>
    <w:rsid w:val="001D5A0A"/>
    <w:rsid w:val="001D629A"/>
    <w:rsid w:val="001D6487"/>
    <w:rsid w:val="001D6E23"/>
    <w:rsid w:val="001D79B8"/>
    <w:rsid w:val="001D7A8A"/>
    <w:rsid w:val="001D7EB7"/>
    <w:rsid w:val="001E03B0"/>
    <w:rsid w:val="001E35A1"/>
    <w:rsid w:val="001E3E95"/>
    <w:rsid w:val="001E4399"/>
    <w:rsid w:val="001E49E0"/>
    <w:rsid w:val="001E4F16"/>
    <w:rsid w:val="001E7066"/>
    <w:rsid w:val="001F02C1"/>
    <w:rsid w:val="001F0C1D"/>
    <w:rsid w:val="001F138C"/>
    <w:rsid w:val="001F18F0"/>
    <w:rsid w:val="001F1FB6"/>
    <w:rsid w:val="001F2284"/>
    <w:rsid w:val="001F2BC9"/>
    <w:rsid w:val="001F394D"/>
    <w:rsid w:val="001F3976"/>
    <w:rsid w:val="001F3D50"/>
    <w:rsid w:val="001F41E0"/>
    <w:rsid w:val="001F5B51"/>
    <w:rsid w:val="001F6579"/>
    <w:rsid w:val="001F7C4F"/>
    <w:rsid w:val="001F7E31"/>
    <w:rsid w:val="00202617"/>
    <w:rsid w:val="0020276E"/>
    <w:rsid w:val="002037CA"/>
    <w:rsid w:val="00205A06"/>
    <w:rsid w:val="0021026A"/>
    <w:rsid w:val="002105F2"/>
    <w:rsid w:val="002109EC"/>
    <w:rsid w:val="00211A20"/>
    <w:rsid w:val="00211D1E"/>
    <w:rsid w:val="002135FC"/>
    <w:rsid w:val="0021377D"/>
    <w:rsid w:val="00214EBB"/>
    <w:rsid w:val="0021502A"/>
    <w:rsid w:val="00215209"/>
    <w:rsid w:val="00215F38"/>
    <w:rsid w:val="00216056"/>
    <w:rsid w:val="0021735A"/>
    <w:rsid w:val="00217FF7"/>
    <w:rsid w:val="0022014F"/>
    <w:rsid w:val="00221037"/>
    <w:rsid w:val="00222C2D"/>
    <w:rsid w:val="0022373D"/>
    <w:rsid w:val="00224BA4"/>
    <w:rsid w:val="0022513D"/>
    <w:rsid w:val="00226C5D"/>
    <w:rsid w:val="00227A2C"/>
    <w:rsid w:val="00227B0E"/>
    <w:rsid w:val="00230408"/>
    <w:rsid w:val="00230A0C"/>
    <w:rsid w:val="0023146F"/>
    <w:rsid w:val="00231725"/>
    <w:rsid w:val="002317E2"/>
    <w:rsid w:val="00231C75"/>
    <w:rsid w:val="0023254C"/>
    <w:rsid w:val="00232C15"/>
    <w:rsid w:val="00233E1A"/>
    <w:rsid w:val="00234F2B"/>
    <w:rsid w:val="00235179"/>
    <w:rsid w:val="00235C8C"/>
    <w:rsid w:val="00235FC7"/>
    <w:rsid w:val="00236048"/>
    <w:rsid w:val="00236158"/>
    <w:rsid w:val="00236483"/>
    <w:rsid w:val="0023748F"/>
    <w:rsid w:val="00237529"/>
    <w:rsid w:val="002375FD"/>
    <w:rsid w:val="002378D4"/>
    <w:rsid w:val="00237A2D"/>
    <w:rsid w:val="00240850"/>
    <w:rsid w:val="00241F17"/>
    <w:rsid w:val="002428E3"/>
    <w:rsid w:val="00242D02"/>
    <w:rsid w:val="0024325F"/>
    <w:rsid w:val="00244707"/>
    <w:rsid w:val="00245FB3"/>
    <w:rsid w:val="00246CF9"/>
    <w:rsid w:val="002470C4"/>
    <w:rsid w:val="002502DD"/>
    <w:rsid w:val="00251089"/>
    <w:rsid w:val="00251124"/>
    <w:rsid w:val="0025197D"/>
    <w:rsid w:val="00253066"/>
    <w:rsid w:val="00253AAE"/>
    <w:rsid w:val="002540F1"/>
    <w:rsid w:val="002542D3"/>
    <w:rsid w:val="00254821"/>
    <w:rsid w:val="0025524F"/>
    <w:rsid w:val="00256509"/>
    <w:rsid w:val="00257034"/>
    <w:rsid w:val="00257281"/>
    <w:rsid w:val="00257E52"/>
    <w:rsid w:val="00257E82"/>
    <w:rsid w:val="002600AA"/>
    <w:rsid w:val="00261A6E"/>
    <w:rsid w:val="00261C97"/>
    <w:rsid w:val="00262CA2"/>
    <w:rsid w:val="00263918"/>
    <w:rsid w:val="00264A9B"/>
    <w:rsid w:val="00266DCF"/>
    <w:rsid w:val="0026716D"/>
    <w:rsid w:val="0026731C"/>
    <w:rsid w:val="00270CBD"/>
    <w:rsid w:val="00270DEC"/>
    <w:rsid w:val="00271971"/>
    <w:rsid w:val="00272CBB"/>
    <w:rsid w:val="00274975"/>
    <w:rsid w:val="00274AC3"/>
    <w:rsid w:val="00275882"/>
    <w:rsid w:val="00275B07"/>
    <w:rsid w:val="00276621"/>
    <w:rsid w:val="00276CB8"/>
    <w:rsid w:val="00277DAD"/>
    <w:rsid w:val="00280C20"/>
    <w:rsid w:val="00281664"/>
    <w:rsid w:val="002827BA"/>
    <w:rsid w:val="002831B7"/>
    <w:rsid w:val="00284289"/>
    <w:rsid w:val="00284404"/>
    <w:rsid w:val="002844FE"/>
    <w:rsid w:val="00284C89"/>
    <w:rsid w:val="002869BC"/>
    <w:rsid w:val="002877C3"/>
    <w:rsid w:val="00287FA4"/>
    <w:rsid w:val="002904A8"/>
    <w:rsid w:val="002907BE"/>
    <w:rsid w:val="002917FA"/>
    <w:rsid w:val="00291E10"/>
    <w:rsid w:val="0029217D"/>
    <w:rsid w:val="00292948"/>
    <w:rsid w:val="00294EF8"/>
    <w:rsid w:val="002955F1"/>
    <w:rsid w:val="0029587D"/>
    <w:rsid w:val="00295FDC"/>
    <w:rsid w:val="00296CCF"/>
    <w:rsid w:val="00296D97"/>
    <w:rsid w:val="00297865"/>
    <w:rsid w:val="002A0263"/>
    <w:rsid w:val="002A082A"/>
    <w:rsid w:val="002A1170"/>
    <w:rsid w:val="002A1766"/>
    <w:rsid w:val="002A1887"/>
    <w:rsid w:val="002A188E"/>
    <w:rsid w:val="002A2AAB"/>
    <w:rsid w:val="002A2EE0"/>
    <w:rsid w:val="002A64B5"/>
    <w:rsid w:val="002A67BA"/>
    <w:rsid w:val="002A6E59"/>
    <w:rsid w:val="002A729A"/>
    <w:rsid w:val="002A72B6"/>
    <w:rsid w:val="002A7782"/>
    <w:rsid w:val="002B0E34"/>
    <w:rsid w:val="002B10DD"/>
    <w:rsid w:val="002B2512"/>
    <w:rsid w:val="002B282E"/>
    <w:rsid w:val="002B3058"/>
    <w:rsid w:val="002B30B7"/>
    <w:rsid w:val="002B3728"/>
    <w:rsid w:val="002B4776"/>
    <w:rsid w:val="002B484C"/>
    <w:rsid w:val="002B5DA0"/>
    <w:rsid w:val="002B5FAC"/>
    <w:rsid w:val="002B6697"/>
    <w:rsid w:val="002B710B"/>
    <w:rsid w:val="002C02DB"/>
    <w:rsid w:val="002C0832"/>
    <w:rsid w:val="002C108A"/>
    <w:rsid w:val="002C216B"/>
    <w:rsid w:val="002C22FB"/>
    <w:rsid w:val="002C240D"/>
    <w:rsid w:val="002C3225"/>
    <w:rsid w:val="002C3407"/>
    <w:rsid w:val="002C3418"/>
    <w:rsid w:val="002C39C4"/>
    <w:rsid w:val="002C4C07"/>
    <w:rsid w:val="002C542A"/>
    <w:rsid w:val="002C60FB"/>
    <w:rsid w:val="002C7520"/>
    <w:rsid w:val="002C7736"/>
    <w:rsid w:val="002D1D79"/>
    <w:rsid w:val="002D222B"/>
    <w:rsid w:val="002D233D"/>
    <w:rsid w:val="002D3208"/>
    <w:rsid w:val="002D3DB3"/>
    <w:rsid w:val="002D449A"/>
    <w:rsid w:val="002D4DEE"/>
    <w:rsid w:val="002D4ED3"/>
    <w:rsid w:val="002D56E5"/>
    <w:rsid w:val="002D6379"/>
    <w:rsid w:val="002D6D61"/>
    <w:rsid w:val="002D7343"/>
    <w:rsid w:val="002D7CF3"/>
    <w:rsid w:val="002E0B32"/>
    <w:rsid w:val="002E20F7"/>
    <w:rsid w:val="002E2E14"/>
    <w:rsid w:val="002E4392"/>
    <w:rsid w:val="002E4B7E"/>
    <w:rsid w:val="002E5AB1"/>
    <w:rsid w:val="002E6DAB"/>
    <w:rsid w:val="002E6F71"/>
    <w:rsid w:val="002E7300"/>
    <w:rsid w:val="002F0584"/>
    <w:rsid w:val="002F0D9F"/>
    <w:rsid w:val="002F0EA2"/>
    <w:rsid w:val="002F0FAF"/>
    <w:rsid w:val="002F1007"/>
    <w:rsid w:val="002F1435"/>
    <w:rsid w:val="002F1584"/>
    <w:rsid w:val="002F228B"/>
    <w:rsid w:val="002F2476"/>
    <w:rsid w:val="002F2D23"/>
    <w:rsid w:val="002F33A3"/>
    <w:rsid w:val="002F3B2E"/>
    <w:rsid w:val="002F43D0"/>
    <w:rsid w:val="002F5085"/>
    <w:rsid w:val="002F50E7"/>
    <w:rsid w:val="002F51EB"/>
    <w:rsid w:val="002F5F7D"/>
    <w:rsid w:val="002F6816"/>
    <w:rsid w:val="00300515"/>
    <w:rsid w:val="00301853"/>
    <w:rsid w:val="0030253A"/>
    <w:rsid w:val="0030265C"/>
    <w:rsid w:val="00302FD6"/>
    <w:rsid w:val="00304C2A"/>
    <w:rsid w:val="00304E97"/>
    <w:rsid w:val="00306F4E"/>
    <w:rsid w:val="00310148"/>
    <w:rsid w:val="003117CE"/>
    <w:rsid w:val="00315F12"/>
    <w:rsid w:val="003160ED"/>
    <w:rsid w:val="0031651F"/>
    <w:rsid w:val="0031658E"/>
    <w:rsid w:val="00317B47"/>
    <w:rsid w:val="00320FCC"/>
    <w:rsid w:val="00323C16"/>
    <w:rsid w:val="00325116"/>
    <w:rsid w:val="00326145"/>
    <w:rsid w:val="0032626F"/>
    <w:rsid w:val="00331313"/>
    <w:rsid w:val="00331E01"/>
    <w:rsid w:val="0033231D"/>
    <w:rsid w:val="00332EC4"/>
    <w:rsid w:val="00332EF8"/>
    <w:rsid w:val="00333706"/>
    <w:rsid w:val="00333778"/>
    <w:rsid w:val="00334343"/>
    <w:rsid w:val="00334466"/>
    <w:rsid w:val="00334BA8"/>
    <w:rsid w:val="00334F37"/>
    <w:rsid w:val="003351E7"/>
    <w:rsid w:val="003403E0"/>
    <w:rsid w:val="00341361"/>
    <w:rsid w:val="0034287D"/>
    <w:rsid w:val="00343BC6"/>
    <w:rsid w:val="00344228"/>
    <w:rsid w:val="003467B8"/>
    <w:rsid w:val="00346C28"/>
    <w:rsid w:val="00346DC7"/>
    <w:rsid w:val="00347B26"/>
    <w:rsid w:val="003509BC"/>
    <w:rsid w:val="003519F0"/>
    <w:rsid w:val="00351A74"/>
    <w:rsid w:val="0035249A"/>
    <w:rsid w:val="00353C68"/>
    <w:rsid w:val="00355657"/>
    <w:rsid w:val="003557D6"/>
    <w:rsid w:val="00355BF8"/>
    <w:rsid w:val="0035747D"/>
    <w:rsid w:val="00357BB8"/>
    <w:rsid w:val="00361892"/>
    <w:rsid w:val="00361931"/>
    <w:rsid w:val="00361A1B"/>
    <w:rsid w:val="00363636"/>
    <w:rsid w:val="003636EB"/>
    <w:rsid w:val="00363CCD"/>
    <w:rsid w:val="00363E81"/>
    <w:rsid w:val="00364162"/>
    <w:rsid w:val="00365128"/>
    <w:rsid w:val="003656E7"/>
    <w:rsid w:val="00365C51"/>
    <w:rsid w:val="00365FC2"/>
    <w:rsid w:val="00366607"/>
    <w:rsid w:val="00367D29"/>
    <w:rsid w:val="00370492"/>
    <w:rsid w:val="00370BDE"/>
    <w:rsid w:val="00370FF1"/>
    <w:rsid w:val="0037151E"/>
    <w:rsid w:val="00372D4B"/>
    <w:rsid w:val="003759D9"/>
    <w:rsid w:val="00375AE1"/>
    <w:rsid w:val="0037617C"/>
    <w:rsid w:val="00376B40"/>
    <w:rsid w:val="00376C08"/>
    <w:rsid w:val="003772C2"/>
    <w:rsid w:val="00377A7E"/>
    <w:rsid w:val="0038010A"/>
    <w:rsid w:val="003806BB"/>
    <w:rsid w:val="00381697"/>
    <w:rsid w:val="00381B75"/>
    <w:rsid w:val="00382B6F"/>
    <w:rsid w:val="003832CA"/>
    <w:rsid w:val="00383384"/>
    <w:rsid w:val="003833E8"/>
    <w:rsid w:val="003834A7"/>
    <w:rsid w:val="00383640"/>
    <w:rsid w:val="00383A45"/>
    <w:rsid w:val="00384C41"/>
    <w:rsid w:val="003858F9"/>
    <w:rsid w:val="00385C0C"/>
    <w:rsid w:val="00385FDB"/>
    <w:rsid w:val="003874E1"/>
    <w:rsid w:val="00387BA4"/>
    <w:rsid w:val="003917FD"/>
    <w:rsid w:val="003920BE"/>
    <w:rsid w:val="00392107"/>
    <w:rsid w:val="003935C3"/>
    <w:rsid w:val="0039413B"/>
    <w:rsid w:val="0039625E"/>
    <w:rsid w:val="003973BF"/>
    <w:rsid w:val="003A00EF"/>
    <w:rsid w:val="003A0B73"/>
    <w:rsid w:val="003A0CD6"/>
    <w:rsid w:val="003A0E1C"/>
    <w:rsid w:val="003A11E5"/>
    <w:rsid w:val="003A21F6"/>
    <w:rsid w:val="003A37B1"/>
    <w:rsid w:val="003A3D4A"/>
    <w:rsid w:val="003A3E4A"/>
    <w:rsid w:val="003A41EB"/>
    <w:rsid w:val="003A4D98"/>
    <w:rsid w:val="003A5912"/>
    <w:rsid w:val="003A5B8B"/>
    <w:rsid w:val="003A69D2"/>
    <w:rsid w:val="003A7E91"/>
    <w:rsid w:val="003B0CEA"/>
    <w:rsid w:val="003B10CA"/>
    <w:rsid w:val="003B2324"/>
    <w:rsid w:val="003B3376"/>
    <w:rsid w:val="003B4354"/>
    <w:rsid w:val="003B46B8"/>
    <w:rsid w:val="003B557F"/>
    <w:rsid w:val="003C05B6"/>
    <w:rsid w:val="003C1504"/>
    <w:rsid w:val="003C1BA0"/>
    <w:rsid w:val="003C2424"/>
    <w:rsid w:val="003C24EF"/>
    <w:rsid w:val="003C562B"/>
    <w:rsid w:val="003C56E7"/>
    <w:rsid w:val="003C5C8E"/>
    <w:rsid w:val="003C766F"/>
    <w:rsid w:val="003C7EB9"/>
    <w:rsid w:val="003C7F6C"/>
    <w:rsid w:val="003D081F"/>
    <w:rsid w:val="003D1B8A"/>
    <w:rsid w:val="003D1E13"/>
    <w:rsid w:val="003D2266"/>
    <w:rsid w:val="003D367A"/>
    <w:rsid w:val="003D421B"/>
    <w:rsid w:val="003D631B"/>
    <w:rsid w:val="003D70FB"/>
    <w:rsid w:val="003D7B8D"/>
    <w:rsid w:val="003E016F"/>
    <w:rsid w:val="003E2D76"/>
    <w:rsid w:val="003E2D9B"/>
    <w:rsid w:val="003E2F24"/>
    <w:rsid w:val="003E3579"/>
    <w:rsid w:val="003E3656"/>
    <w:rsid w:val="003E3741"/>
    <w:rsid w:val="003E3C20"/>
    <w:rsid w:val="003E3CAA"/>
    <w:rsid w:val="003E584E"/>
    <w:rsid w:val="003E6E30"/>
    <w:rsid w:val="003E7515"/>
    <w:rsid w:val="003F1EBE"/>
    <w:rsid w:val="003F2002"/>
    <w:rsid w:val="003F2104"/>
    <w:rsid w:val="003F31A1"/>
    <w:rsid w:val="003F3BF2"/>
    <w:rsid w:val="003F3C48"/>
    <w:rsid w:val="003F4727"/>
    <w:rsid w:val="003F6FD5"/>
    <w:rsid w:val="003F7671"/>
    <w:rsid w:val="003F79A9"/>
    <w:rsid w:val="0040082A"/>
    <w:rsid w:val="00401C8F"/>
    <w:rsid w:val="00402388"/>
    <w:rsid w:val="00402ADE"/>
    <w:rsid w:val="0040302D"/>
    <w:rsid w:val="0040349F"/>
    <w:rsid w:val="00403696"/>
    <w:rsid w:val="00403A66"/>
    <w:rsid w:val="004041A9"/>
    <w:rsid w:val="00404759"/>
    <w:rsid w:val="00404D66"/>
    <w:rsid w:val="00407E1B"/>
    <w:rsid w:val="00411E70"/>
    <w:rsid w:val="00411F31"/>
    <w:rsid w:val="004122A2"/>
    <w:rsid w:val="00412701"/>
    <w:rsid w:val="0041368A"/>
    <w:rsid w:val="00414F68"/>
    <w:rsid w:val="00415BC3"/>
    <w:rsid w:val="00415E13"/>
    <w:rsid w:val="00415F1C"/>
    <w:rsid w:val="004164FE"/>
    <w:rsid w:val="00416A2A"/>
    <w:rsid w:val="00416B87"/>
    <w:rsid w:val="00416F13"/>
    <w:rsid w:val="004172EB"/>
    <w:rsid w:val="004175C3"/>
    <w:rsid w:val="00420291"/>
    <w:rsid w:val="0042185B"/>
    <w:rsid w:val="00421E7C"/>
    <w:rsid w:val="00421F46"/>
    <w:rsid w:val="00422C1C"/>
    <w:rsid w:val="0042354C"/>
    <w:rsid w:val="004245BB"/>
    <w:rsid w:val="00424844"/>
    <w:rsid w:val="00424C53"/>
    <w:rsid w:val="00426D7D"/>
    <w:rsid w:val="0042723A"/>
    <w:rsid w:val="004302B2"/>
    <w:rsid w:val="004309CA"/>
    <w:rsid w:val="00430F7F"/>
    <w:rsid w:val="00433562"/>
    <w:rsid w:val="00433813"/>
    <w:rsid w:val="00433ABB"/>
    <w:rsid w:val="00433D34"/>
    <w:rsid w:val="00433EC6"/>
    <w:rsid w:val="0043624D"/>
    <w:rsid w:val="004362AF"/>
    <w:rsid w:val="00436427"/>
    <w:rsid w:val="00436A81"/>
    <w:rsid w:val="00436D05"/>
    <w:rsid w:val="004370EB"/>
    <w:rsid w:val="00437592"/>
    <w:rsid w:val="00437BDC"/>
    <w:rsid w:val="00440422"/>
    <w:rsid w:val="00441E39"/>
    <w:rsid w:val="00442107"/>
    <w:rsid w:val="004431BA"/>
    <w:rsid w:val="004432F5"/>
    <w:rsid w:val="00444761"/>
    <w:rsid w:val="004447DB"/>
    <w:rsid w:val="00445894"/>
    <w:rsid w:val="00445C74"/>
    <w:rsid w:val="00445DD9"/>
    <w:rsid w:val="004466DF"/>
    <w:rsid w:val="00446E72"/>
    <w:rsid w:val="00447B7C"/>
    <w:rsid w:val="0045028B"/>
    <w:rsid w:val="004506DF"/>
    <w:rsid w:val="0045351E"/>
    <w:rsid w:val="004547D1"/>
    <w:rsid w:val="00454B82"/>
    <w:rsid w:val="004550D6"/>
    <w:rsid w:val="00455816"/>
    <w:rsid w:val="00455D2F"/>
    <w:rsid w:val="004563EC"/>
    <w:rsid w:val="004573B3"/>
    <w:rsid w:val="00457E96"/>
    <w:rsid w:val="00460793"/>
    <w:rsid w:val="00461562"/>
    <w:rsid w:val="00461E2E"/>
    <w:rsid w:val="004620A9"/>
    <w:rsid w:val="004633A1"/>
    <w:rsid w:val="004633D0"/>
    <w:rsid w:val="00463FC6"/>
    <w:rsid w:val="00464439"/>
    <w:rsid w:val="00464DA4"/>
    <w:rsid w:val="00465725"/>
    <w:rsid w:val="00465F5C"/>
    <w:rsid w:val="00465F97"/>
    <w:rsid w:val="00466223"/>
    <w:rsid w:val="00466A3D"/>
    <w:rsid w:val="00466AC4"/>
    <w:rsid w:val="00466D10"/>
    <w:rsid w:val="0046708D"/>
    <w:rsid w:val="00467149"/>
    <w:rsid w:val="004716FD"/>
    <w:rsid w:val="00471EDA"/>
    <w:rsid w:val="00472536"/>
    <w:rsid w:val="0047274B"/>
    <w:rsid w:val="00473324"/>
    <w:rsid w:val="00475824"/>
    <w:rsid w:val="0047690D"/>
    <w:rsid w:val="0048074A"/>
    <w:rsid w:val="00480F90"/>
    <w:rsid w:val="00482681"/>
    <w:rsid w:val="00482E61"/>
    <w:rsid w:val="00482F69"/>
    <w:rsid w:val="004855BA"/>
    <w:rsid w:val="004868D5"/>
    <w:rsid w:val="00486E9A"/>
    <w:rsid w:val="004877FD"/>
    <w:rsid w:val="00487CF8"/>
    <w:rsid w:val="00491912"/>
    <w:rsid w:val="0049260A"/>
    <w:rsid w:val="00492C5F"/>
    <w:rsid w:val="00493012"/>
    <w:rsid w:val="004938F0"/>
    <w:rsid w:val="00496166"/>
    <w:rsid w:val="004961D8"/>
    <w:rsid w:val="00496302"/>
    <w:rsid w:val="0049632B"/>
    <w:rsid w:val="00496352"/>
    <w:rsid w:val="00497003"/>
    <w:rsid w:val="00497260"/>
    <w:rsid w:val="0049728F"/>
    <w:rsid w:val="004A09F7"/>
    <w:rsid w:val="004A27B6"/>
    <w:rsid w:val="004A2849"/>
    <w:rsid w:val="004A2A8C"/>
    <w:rsid w:val="004A4205"/>
    <w:rsid w:val="004A56B8"/>
    <w:rsid w:val="004A5D28"/>
    <w:rsid w:val="004A60F8"/>
    <w:rsid w:val="004A6637"/>
    <w:rsid w:val="004A6B45"/>
    <w:rsid w:val="004A74B8"/>
    <w:rsid w:val="004B088B"/>
    <w:rsid w:val="004B1E55"/>
    <w:rsid w:val="004B1F2A"/>
    <w:rsid w:val="004B2B1F"/>
    <w:rsid w:val="004B2CA9"/>
    <w:rsid w:val="004B34B8"/>
    <w:rsid w:val="004B4CF2"/>
    <w:rsid w:val="004B56EE"/>
    <w:rsid w:val="004B5E8B"/>
    <w:rsid w:val="004B76A9"/>
    <w:rsid w:val="004C017F"/>
    <w:rsid w:val="004C18B0"/>
    <w:rsid w:val="004C216E"/>
    <w:rsid w:val="004C2638"/>
    <w:rsid w:val="004C2D3D"/>
    <w:rsid w:val="004C3780"/>
    <w:rsid w:val="004C3EFA"/>
    <w:rsid w:val="004C4B71"/>
    <w:rsid w:val="004C58ED"/>
    <w:rsid w:val="004C791E"/>
    <w:rsid w:val="004C7C25"/>
    <w:rsid w:val="004D0527"/>
    <w:rsid w:val="004D164D"/>
    <w:rsid w:val="004D19CD"/>
    <w:rsid w:val="004D2C09"/>
    <w:rsid w:val="004D2D50"/>
    <w:rsid w:val="004D3897"/>
    <w:rsid w:val="004D3A75"/>
    <w:rsid w:val="004D4F77"/>
    <w:rsid w:val="004D54C2"/>
    <w:rsid w:val="004D6081"/>
    <w:rsid w:val="004E05F3"/>
    <w:rsid w:val="004E065A"/>
    <w:rsid w:val="004E0B60"/>
    <w:rsid w:val="004E0F75"/>
    <w:rsid w:val="004E2F2A"/>
    <w:rsid w:val="004E3991"/>
    <w:rsid w:val="004E42A5"/>
    <w:rsid w:val="004E5B14"/>
    <w:rsid w:val="004E6A0C"/>
    <w:rsid w:val="004E6BAA"/>
    <w:rsid w:val="004E6E4F"/>
    <w:rsid w:val="004E7FFE"/>
    <w:rsid w:val="004F1765"/>
    <w:rsid w:val="004F1DCF"/>
    <w:rsid w:val="004F2B53"/>
    <w:rsid w:val="004F4B80"/>
    <w:rsid w:val="004F4E50"/>
    <w:rsid w:val="004F522B"/>
    <w:rsid w:val="004F5E0E"/>
    <w:rsid w:val="00500323"/>
    <w:rsid w:val="005020AF"/>
    <w:rsid w:val="00502472"/>
    <w:rsid w:val="005025A6"/>
    <w:rsid w:val="0050289A"/>
    <w:rsid w:val="00504112"/>
    <w:rsid w:val="00504276"/>
    <w:rsid w:val="00504D39"/>
    <w:rsid w:val="00504FCD"/>
    <w:rsid w:val="005108A9"/>
    <w:rsid w:val="00510BE2"/>
    <w:rsid w:val="00510C7A"/>
    <w:rsid w:val="00510FFA"/>
    <w:rsid w:val="00511174"/>
    <w:rsid w:val="005111CA"/>
    <w:rsid w:val="00512159"/>
    <w:rsid w:val="0051262B"/>
    <w:rsid w:val="0051276A"/>
    <w:rsid w:val="0051327D"/>
    <w:rsid w:val="00513296"/>
    <w:rsid w:val="005136FD"/>
    <w:rsid w:val="00513A16"/>
    <w:rsid w:val="00514B20"/>
    <w:rsid w:val="00514FCE"/>
    <w:rsid w:val="0051568F"/>
    <w:rsid w:val="0051674C"/>
    <w:rsid w:val="00516E65"/>
    <w:rsid w:val="005204AD"/>
    <w:rsid w:val="00521742"/>
    <w:rsid w:val="00521C60"/>
    <w:rsid w:val="005223EE"/>
    <w:rsid w:val="00522F05"/>
    <w:rsid w:val="00522F7F"/>
    <w:rsid w:val="005231AA"/>
    <w:rsid w:val="005236F1"/>
    <w:rsid w:val="005237C8"/>
    <w:rsid w:val="00523AF2"/>
    <w:rsid w:val="00523D71"/>
    <w:rsid w:val="00524540"/>
    <w:rsid w:val="00525BB6"/>
    <w:rsid w:val="00525DDE"/>
    <w:rsid w:val="00525F34"/>
    <w:rsid w:val="005263BE"/>
    <w:rsid w:val="005275FF"/>
    <w:rsid w:val="0053110C"/>
    <w:rsid w:val="005319A7"/>
    <w:rsid w:val="00532A27"/>
    <w:rsid w:val="00533B7B"/>
    <w:rsid w:val="00533C17"/>
    <w:rsid w:val="00533CC6"/>
    <w:rsid w:val="0053585B"/>
    <w:rsid w:val="00536B10"/>
    <w:rsid w:val="00537070"/>
    <w:rsid w:val="005374F6"/>
    <w:rsid w:val="0053770E"/>
    <w:rsid w:val="005379CD"/>
    <w:rsid w:val="00537C1F"/>
    <w:rsid w:val="00541274"/>
    <w:rsid w:val="00543A39"/>
    <w:rsid w:val="00544CA6"/>
    <w:rsid w:val="005459DF"/>
    <w:rsid w:val="005461B8"/>
    <w:rsid w:val="00547D97"/>
    <w:rsid w:val="005515E8"/>
    <w:rsid w:val="005529C6"/>
    <w:rsid w:val="00552AA7"/>
    <w:rsid w:val="00553689"/>
    <w:rsid w:val="00553CA8"/>
    <w:rsid w:val="00553F98"/>
    <w:rsid w:val="00555A7C"/>
    <w:rsid w:val="00556150"/>
    <w:rsid w:val="00556613"/>
    <w:rsid w:val="00557CBB"/>
    <w:rsid w:val="0056038A"/>
    <w:rsid w:val="005624D5"/>
    <w:rsid w:val="0056317B"/>
    <w:rsid w:val="00563F5A"/>
    <w:rsid w:val="00566218"/>
    <w:rsid w:val="0056657F"/>
    <w:rsid w:val="00566E52"/>
    <w:rsid w:val="00566FDB"/>
    <w:rsid w:val="00567439"/>
    <w:rsid w:val="00567764"/>
    <w:rsid w:val="0056782C"/>
    <w:rsid w:val="0056789C"/>
    <w:rsid w:val="00570232"/>
    <w:rsid w:val="00570A57"/>
    <w:rsid w:val="0057295F"/>
    <w:rsid w:val="00573231"/>
    <w:rsid w:val="005734D4"/>
    <w:rsid w:val="00573A8E"/>
    <w:rsid w:val="00576D4E"/>
    <w:rsid w:val="0058140C"/>
    <w:rsid w:val="0058190B"/>
    <w:rsid w:val="00581BC9"/>
    <w:rsid w:val="00581F64"/>
    <w:rsid w:val="005820E7"/>
    <w:rsid w:val="00584005"/>
    <w:rsid w:val="005845AD"/>
    <w:rsid w:val="00584726"/>
    <w:rsid w:val="00584B44"/>
    <w:rsid w:val="00584CEB"/>
    <w:rsid w:val="00585501"/>
    <w:rsid w:val="005858F2"/>
    <w:rsid w:val="00585CF8"/>
    <w:rsid w:val="00585D6E"/>
    <w:rsid w:val="005872B6"/>
    <w:rsid w:val="00587C04"/>
    <w:rsid w:val="0059094B"/>
    <w:rsid w:val="0059175E"/>
    <w:rsid w:val="00592925"/>
    <w:rsid w:val="00592F7D"/>
    <w:rsid w:val="0059423F"/>
    <w:rsid w:val="0059456A"/>
    <w:rsid w:val="00594EC8"/>
    <w:rsid w:val="00594FBA"/>
    <w:rsid w:val="0059531D"/>
    <w:rsid w:val="00595C8D"/>
    <w:rsid w:val="00596CCC"/>
    <w:rsid w:val="005A11B1"/>
    <w:rsid w:val="005A18CC"/>
    <w:rsid w:val="005A412B"/>
    <w:rsid w:val="005A4395"/>
    <w:rsid w:val="005A5F7D"/>
    <w:rsid w:val="005A63BD"/>
    <w:rsid w:val="005A6752"/>
    <w:rsid w:val="005A6E01"/>
    <w:rsid w:val="005A72CF"/>
    <w:rsid w:val="005A7608"/>
    <w:rsid w:val="005A7C48"/>
    <w:rsid w:val="005A7FC4"/>
    <w:rsid w:val="005B1039"/>
    <w:rsid w:val="005B16DC"/>
    <w:rsid w:val="005B2146"/>
    <w:rsid w:val="005B2516"/>
    <w:rsid w:val="005B2BE5"/>
    <w:rsid w:val="005B3393"/>
    <w:rsid w:val="005B3FA5"/>
    <w:rsid w:val="005B44AA"/>
    <w:rsid w:val="005B471E"/>
    <w:rsid w:val="005B6A23"/>
    <w:rsid w:val="005B7805"/>
    <w:rsid w:val="005C0068"/>
    <w:rsid w:val="005C2276"/>
    <w:rsid w:val="005C27C3"/>
    <w:rsid w:val="005C2822"/>
    <w:rsid w:val="005C3A94"/>
    <w:rsid w:val="005C3F1A"/>
    <w:rsid w:val="005C49A2"/>
    <w:rsid w:val="005C63DE"/>
    <w:rsid w:val="005C70EF"/>
    <w:rsid w:val="005C787D"/>
    <w:rsid w:val="005C78BD"/>
    <w:rsid w:val="005D03B6"/>
    <w:rsid w:val="005D06F2"/>
    <w:rsid w:val="005D1C4F"/>
    <w:rsid w:val="005D21D3"/>
    <w:rsid w:val="005D25EB"/>
    <w:rsid w:val="005D2A6A"/>
    <w:rsid w:val="005D2C01"/>
    <w:rsid w:val="005D31BE"/>
    <w:rsid w:val="005D4139"/>
    <w:rsid w:val="005D4203"/>
    <w:rsid w:val="005D4C3C"/>
    <w:rsid w:val="005D4D12"/>
    <w:rsid w:val="005D4E4B"/>
    <w:rsid w:val="005D5BE9"/>
    <w:rsid w:val="005D62CD"/>
    <w:rsid w:val="005D7053"/>
    <w:rsid w:val="005E0381"/>
    <w:rsid w:val="005E0465"/>
    <w:rsid w:val="005E38C9"/>
    <w:rsid w:val="005E393D"/>
    <w:rsid w:val="005E3BFC"/>
    <w:rsid w:val="005E4EE1"/>
    <w:rsid w:val="005E4EFB"/>
    <w:rsid w:val="005E56BE"/>
    <w:rsid w:val="005E5884"/>
    <w:rsid w:val="005E74A3"/>
    <w:rsid w:val="005E7A71"/>
    <w:rsid w:val="005E7ED1"/>
    <w:rsid w:val="005F08A7"/>
    <w:rsid w:val="005F0924"/>
    <w:rsid w:val="005F10B9"/>
    <w:rsid w:val="005F1338"/>
    <w:rsid w:val="005F13C5"/>
    <w:rsid w:val="005F1DD3"/>
    <w:rsid w:val="005F217F"/>
    <w:rsid w:val="005F2C45"/>
    <w:rsid w:val="005F30EE"/>
    <w:rsid w:val="005F3FEE"/>
    <w:rsid w:val="005F487E"/>
    <w:rsid w:val="005F4970"/>
    <w:rsid w:val="005F581A"/>
    <w:rsid w:val="005F58CF"/>
    <w:rsid w:val="005F696A"/>
    <w:rsid w:val="005F6A2D"/>
    <w:rsid w:val="005F6BAE"/>
    <w:rsid w:val="005F6BD7"/>
    <w:rsid w:val="00600B40"/>
    <w:rsid w:val="00600EFC"/>
    <w:rsid w:val="00601D38"/>
    <w:rsid w:val="006029A9"/>
    <w:rsid w:val="00604A98"/>
    <w:rsid w:val="00604D37"/>
    <w:rsid w:val="00604DC6"/>
    <w:rsid w:val="00604E6A"/>
    <w:rsid w:val="0060508D"/>
    <w:rsid w:val="006051A1"/>
    <w:rsid w:val="00606A2D"/>
    <w:rsid w:val="00606F9D"/>
    <w:rsid w:val="00607E40"/>
    <w:rsid w:val="00610E89"/>
    <w:rsid w:val="0061101F"/>
    <w:rsid w:val="00611E5F"/>
    <w:rsid w:val="0061221A"/>
    <w:rsid w:val="0061323D"/>
    <w:rsid w:val="0061382A"/>
    <w:rsid w:val="00613B26"/>
    <w:rsid w:val="006143BF"/>
    <w:rsid w:val="00615F7B"/>
    <w:rsid w:val="006171F3"/>
    <w:rsid w:val="006172A5"/>
    <w:rsid w:val="0061759F"/>
    <w:rsid w:val="006179EF"/>
    <w:rsid w:val="00617B0D"/>
    <w:rsid w:val="00617C0D"/>
    <w:rsid w:val="006205B6"/>
    <w:rsid w:val="00620F6E"/>
    <w:rsid w:val="00621B3A"/>
    <w:rsid w:val="0062263C"/>
    <w:rsid w:val="006231C6"/>
    <w:rsid w:val="006238E7"/>
    <w:rsid w:val="00625911"/>
    <w:rsid w:val="006271BC"/>
    <w:rsid w:val="00627E84"/>
    <w:rsid w:val="00630A4B"/>
    <w:rsid w:val="00631AEA"/>
    <w:rsid w:val="0063246A"/>
    <w:rsid w:val="00632BD6"/>
    <w:rsid w:val="0063398A"/>
    <w:rsid w:val="00634355"/>
    <w:rsid w:val="0063496D"/>
    <w:rsid w:val="00634F04"/>
    <w:rsid w:val="006361DF"/>
    <w:rsid w:val="006361E6"/>
    <w:rsid w:val="00636A98"/>
    <w:rsid w:val="006370AD"/>
    <w:rsid w:val="0063756C"/>
    <w:rsid w:val="00637B25"/>
    <w:rsid w:val="00640710"/>
    <w:rsid w:val="00640C19"/>
    <w:rsid w:val="006419E5"/>
    <w:rsid w:val="00641F37"/>
    <w:rsid w:val="00642DC3"/>
    <w:rsid w:val="00643167"/>
    <w:rsid w:val="0064346C"/>
    <w:rsid w:val="00644DD3"/>
    <w:rsid w:val="0064517D"/>
    <w:rsid w:val="00646475"/>
    <w:rsid w:val="00646751"/>
    <w:rsid w:val="00650760"/>
    <w:rsid w:val="00652B8B"/>
    <w:rsid w:val="006537B4"/>
    <w:rsid w:val="0065432D"/>
    <w:rsid w:val="00655CC8"/>
    <w:rsid w:val="006560CB"/>
    <w:rsid w:val="0065681F"/>
    <w:rsid w:val="00657881"/>
    <w:rsid w:val="00660F8C"/>
    <w:rsid w:val="00662BA1"/>
    <w:rsid w:val="006631E5"/>
    <w:rsid w:val="00663C40"/>
    <w:rsid w:val="006648CE"/>
    <w:rsid w:val="006650EE"/>
    <w:rsid w:val="00665230"/>
    <w:rsid w:val="0066537D"/>
    <w:rsid w:val="00665527"/>
    <w:rsid w:val="00665756"/>
    <w:rsid w:val="0066692E"/>
    <w:rsid w:val="00667B1A"/>
    <w:rsid w:val="006704D2"/>
    <w:rsid w:val="00670585"/>
    <w:rsid w:val="00670A8D"/>
    <w:rsid w:val="00670ECD"/>
    <w:rsid w:val="00671BE2"/>
    <w:rsid w:val="00671BFC"/>
    <w:rsid w:val="00673D68"/>
    <w:rsid w:val="0067494D"/>
    <w:rsid w:val="006753C3"/>
    <w:rsid w:val="006754F2"/>
    <w:rsid w:val="00675AF8"/>
    <w:rsid w:val="00676F00"/>
    <w:rsid w:val="006801E1"/>
    <w:rsid w:val="00680E5C"/>
    <w:rsid w:val="00681F2B"/>
    <w:rsid w:val="0068222C"/>
    <w:rsid w:val="00682ABC"/>
    <w:rsid w:val="00682D75"/>
    <w:rsid w:val="00683890"/>
    <w:rsid w:val="00683AF7"/>
    <w:rsid w:val="00683B84"/>
    <w:rsid w:val="00683CA9"/>
    <w:rsid w:val="00684407"/>
    <w:rsid w:val="006850DA"/>
    <w:rsid w:val="0068625B"/>
    <w:rsid w:val="006862B8"/>
    <w:rsid w:val="00686D53"/>
    <w:rsid w:val="00686F2D"/>
    <w:rsid w:val="006873F3"/>
    <w:rsid w:val="006875E3"/>
    <w:rsid w:val="006877A2"/>
    <w:rsid w:val="00687994"/>
    <w:rsid w:val="00687EC6"/>
    <w:rsid w:val="00690C86"/>
    <w:rsid w:val="00691853"/>
    <w:rsid w:val="0069216F"/>
    <w:rsid w:val="006929D2"/>
    <w:rsid w:val="00692BC8"/>
    <w:rsid w:val="00693758"/>
    <w:rsid w:val="006938E6"/>
    <w:rsid w:val="00693B79"/>
    <w:rsid w:val="00693D78"/>
    <w:rsid w:val="00694413"/>
    <w:rsid w:val="00695479"/>
    <w:rsid w:val="006954DA"/>
    <w:rsid w:val="006967ED"/>
    <w:rsid w:val="00696BE5"/>
    <w:rsid w:val="00696BF2"/>
    <w:rsid w:val="00696CD6"/>
    <w:rsid w:val="00697E5C"/>
    <w:rsid w:val="006A0757"/>
    <w:rsid w:val="006A2459"/>
    <w:rsid w:val="006A2EAA"/>
    <w:rsid w:val="006A3998"/>
    <w:rsid w:val="006A50BD"/>
    <w:rsid w:val="006A56BA"/>
    <w:rsid w:val="006A65CB"/>
    <w:rsid w:val="006A6E50"/>
    <w:rsid w:val="006A6FE6"/>
    <w:rsid w:val="006A7CA6"/>
    <w:rsid w:val="006B0565"/>
    <w:rsid w:val="006B0BCC"/>
    <w:rsid w:val="006B0C4C"/>
    <w:rsid w:val="006B1EF8"/>
    <w:rsid w:val="006B20C3"/>
    <w:rsid w:val="006B2D27"/>
    <w:rsid w:val="006B3399"/>
    <w:rsid w:val="006B54EC"/>
    <w:rsid w:val="006B606E"/>
    <w:rsid w:val="006B60B3"/>
    <w:rsid w:val="006B76B0"/>
    <w:rsid w:val="006B7833"/>
    <w:rsid w:val="006B7F8F"/>
    <w:rsid w:val="006C060D"/>
    <w:rsid w:val="006C0AD2"/>
    <w:rsid w:val="006C1039"/>
    <w:rsid w:val="006C1907"/>
    <w:rsid w:val="006C1FE7"/>
    <w:rsid w:val="006C290F"/>
    <w:rsid w:val="006C3990"/>
    <w:rsid w:val="006C5057"/>
    <w:rsid w:val="006C5BF2"/>
    <w:rsid w:val="006C5EF9"/>
    <w:rsid w:val="006D03B2"/>
    <w:rsid w:val="006D06D6"/>
    <w:rsid w:val="006D0CB4"/>
    <w:rsid w:val="006D1699"/>
    <w:rsid w:val="006D3377"/>
    <w:rsid w:val="006D4B81"/>
    <w:rsid w:val="006D4D81"/>
    <w:rsid w:val="006D5402"/>
    <w:rsid w:val="006D549C"/>
    <w:rsid w:val="006D6766"/>
    <w:rsid w:val="006D68E4"/>
    <w:rsid w:val="006D775F"/>
    <w:rsid w:val="006E3284"/>
    <w:rsid w:val="006E3E6A"/>
    <w:rsid w:val="006E5816"/>
    <w:rsid w:val="006E5C35"/>
    <w:rsid w:val="006E633F"/>
    <w:rsid w:val="006F1A5C"/>
    <w:rsid w:val="006F1C0B"/>
    <w:rsid w:val="006F2863"/>
    <w:rsid w:val="006F2B87"/>
    <w:rsid w:val="006F35C7"/>
    <w:rsid w:val="006F3919"/>
    <w:rsid w:val="006F489D"/>
    <w:rsid w:val="006F545E"/>
    <w:rsid w:val="006F72C0"/>
    <w:rsid w:val="006F73E6"/>
    <w:rsid w:val="007011C4"/>
    <w:rsid w:val="00701719"/>
    <w:rsid w:val="00702955"/>
    <w:rsid w:val="00702C30"/>
    <w:rsid w:val="007043E0"/>
    <w:rsid w:val="00704C8D"/>
    <w:rsid w:val="00704EBD"/>
    <w:rsid w:val="00705581"/>
    <w:rsid w:val="00706E6D"/>
    <w:rsid w:val="0070708F"/>
    <w:rsid w:val="007077AE"/>
    <w:rsid w:val="0070799E"/>
    <w:rsid w:val="00707C43"/>
    <w:rsid w:val="007103E3"/>
    <w:rsid w:val="007110C3"/>
    <w:rsid w:val="00711929"/>
    <w:rsid w:val="00711C08"/>
    <w:rsid w:val="0071243E"/>
    <w:rsid w:val="007124EB"/>
    <w:rsid w:val="0071253D"/>
    <w:rsid w:val="007125F0"/>
    <w:rsid w:val="00712A7D"/>
    <w:rsid w:val="00713EB7"/>
    <w:rsid w:val="00714C04"/>
    <w:rsid w:val="0071560E"/>
    <w:rsid w:val="00715669"/>
    <w:rsid w:val="007156CA"/>
    <w:rsid w:val="00715E1C"/>
    <w:rsid w:val="00716D9B"/>
    <w:rsid w:val="007176D3"/>
    <w:rsid w:val="00720B93"/>
    <w:rsid w:val="007222E4"/>
    <w:rsid w:val="0072322D"/>
    <w:rsid w:val="00723797"/>
    <w:rsid w:val="00724ADA"/>
    <w:rsid w:val="00724D3D"/>
    <w:rsid w:val="007257B5"/>
    <w:rsid w:val="00725DB4"/>
    <w:rsid w:val="00726166"/>
    <w:rsid w:val="00726552"/>
    <w:rsid w:val="007271C7"/>
    <w:rsid w:val="00730164"/>
    <w:rsid w:val="00730E0B"/>
    <w:rsid w:val="00731D96"/>
    <w:rsid w:val="007323CA"/>
    <w:rsid w:val="00733018"/>
    <w:rsid w:val="00734464"/>
    <w:rsid w:val="00734616"/>
    <w:rsid w:val="0073492B"/>
    <w:rsid w:val="00736309"/>
    <w:rsid w:val="007365C7"/>
    <w:rsid w:val="00736E81"/>
    <w:rsid w:val="0074011C"/>
    <w:rsid w:val="007408F3"/>
    <w:rsid w:val="0074119F"/>
    <w:rsid w:val="007424FA"/>
    <w:rsid w:val="0074261E"/>
    <w:rsid w:val="00743778"/>
    <w:rsid w:val="00744FFE"/>
    <w:rsid w:val="00746F47"/>
    <w:rsid w:val="00747663"/>
    <w:rsid w:val="00747874"/>
    <w:rsid w:val="00747F1B"/>
    <w:rsid w:val="00750807"/>
    <w:rsid w:val="0075111A"/>
    <w:rsid w:val="007524FC"/>
    <w:rsid w:val="0075288F"/>
    <w:rsid w:val="00752B36"/>
    <w:rsid w:val="00753A95"/>
    <w:rsid w:val="007545A7"/>
    <w:rsid w:val="00755863"/>
    <w:rsid w:val="00756BA6"/>
    <w:rsid w:val="00756EE0"/>
    <w:rsid w:val="007576C7"/>
    <w:rsid w:val="00757A62"/>
    <w:rsid w:val="00761834"/>
    <w:rsid w:val="007629DE"/>
    <w:rsid w:val="00762CE9"/>
    <w:rsid w:val="00763356"/>
    <w:rsid w:val="007646DC"/>
    <w:rsid w:val="00764ECF"/>
    <w:rsid w:val="00766439"/>
    <w:rsid w:val="00767031"/>
    <w:rsid w:val="00767F85"/>
    <w:rsid w:val="00770CE5"/>
    <w:rsid w:val="00770D30"/>
    <w:rsid w:val="00772166"/>
    <w:rsid w:val="00772351"/>
    <w:rsid w:val="007724CA"/>
    <w:rsid w:val="0077396B"/>
    <w:rsid w:val="00773B73"/>
    <w:rsid w:val="007742CE"/>
    <w:rsid w:val="00774832"/>
    <w:rsid w:val="00774DED"/>
    <w:rsid w:val="007757F1"/>
    <w:rsid w:val="00775B61"/>
    <w:rsid w:val="00777597"/>
    <w:rsid w:val="00777682"/>
    <w:rsid w:val="00777FBB"/>
    <w:rsid w:val="007808B2"/>
    <w:rsid w:val="00780F45"/>
    <w:rsid w:val="00781BF8"/>
    <w:rsid w:val="00781E26"/>
    <w:rsid w:val="00781FC7"/>
    <w:rsid w:val="007823E6"/>
    <w:rsid w:val="007825EA"/>
    <w:rsid w:val="00782E7C"/>
    <w:rsid w:val="0078374B"/>
    <w:rsid w:val="00783C1D"/>
    <w:rsid w:val="00785FB5"/>
    <w:rsid w:val="007861E9"/>
    <w:rsid w:val="007862E5"/>
    <w:rsid w:val="00786DCF"/>
    <w:rsid w:val="007877DB"/>
    <w:rsid w:val="0079005A"/>
    <w:rsid w:val="00790785"/>
    <w:rsid w:val="00792315"/>
    <w:rsid w:val="0079310D"/>
    <w:rsid w:val="007931D2"/>
    <w:rsid w:val="007939A3"/>
    <w:rsid w:val="0079406A"/>
    <w:rsid w:val="00794100"/>
    <w:rsid w:val="007957AA"/>
    <w:rsid w:val="00795AEE"/>
    <w:rsid w:val="00796ADE"/>
    <w:rsid w:val="00797521"/>
    <w:rsid w:val="007976F7"/>
    <w:rsid w:val="00797FF7"/>
    <w:rsid w:val="007A0E23"/>
    <w:rsid w:val="007A171B"/>
    <w:rsid w:val="007A1FE9"/>
    <w:rsid w:val="007A2AED"/>
    <w:rsid w:val="007A3539"/>
    <w:rsid w:val="007A3761"/>
    <w:rsid w:val="007A3919"/>
    <w:rsid w:val="007A44C6"/>
    <w:rsid w:val="007A499F"/>
    <w:rsid w:val="007A4CDA"/>
    <w:rsid w:val="007A5F0F"/>
    <w:rsid w:val="007A75D0"/>
    <w:rsid w:val="007A7AD6"/>
    <w:rsid w:val="007B0193"/>
    <w:rsid w:val="007B0F60"/>
    <w:rsid w:val="007B1416"/>
    <w:rsid w:val="007B1AF1"/>
    <w:rsid w:val="007B1B09"/>
    <w:rsid w:val="007B2377"/>
    <w:rsid w:val="007B3DE3"/>
    <w:rsid w:val="007B3F56"/>
    <w:rsid w:val="007B4002"/>
    <w:rsid w:val="007B403A"/>
    <w:rsid w:val="007B4156"/>
    <w:rsid w:val="007B4AD4"/>
    <w:rsid w:val="007B4CFE"/>
    <w:rsid w:val="007B64B4"/>
    <w:rsid w:val="007B69D4"/>
    <w:rsid w:val="007B7779"/>
    <w:rsid w:val="007B7DC3"/>
    <w:rsid w:val="007C074E"/>
    <w:rsid w:val="007C0C41"/>
    <w:rsid w:val="007C18C7"/>
    <w:rsid w:val="007C1FD4"/>
    <w:rsid w:val="007C2622"/>
    <w:rsid w:val="007C2C29"/>
    <w:rsid w:val="007C3259"/>
    <w:rsid w:val="007C39E1"/>
    <w:rsid w:val="007C5594"/>
    <w:rsid w:val="007C5787"/>
    <w:rsid w:val="007C593B"/>
    <w:rsid w:val="007C60D1"/>
    <w:rsid w:val="007C7A6F"/>
    <w:rsid w:val="007D0EA0"/>
    <w:rsid w:val="007D1157"/>
    <w:rsid w:val="007D1728"/>
    <w:rsid w:val="007D1A8A"/>
    <w:rsid w:val="007D1FE3"/>
    <w:rsid w:val="007D20AF"/>
    <w:rsid w:val="007D2E93"/>
    <w:rsid w:val="007D3308"/>
    <w:rsid w:val="007D3F4B"/>
    <w:rsid w:val="007D41DC"/>
    <w:rsid w:val="007D479C"/>
    <w:rsid w:val="007D574B"/>
    <w:rsid w:val="007D7621"/>
    <w:rsid w:val="007E0705"/>
    <w:rsid w:val="007E0A44"/>
    <w:rsid w:val="007E2035"/>
    <w:rsid w:val="007E2417"/>
    <w:rsid w:val="007E28A7"/>
    <w:rsid w:val="007E38B9"/>
    <w:rsid w:val="007E40BD"/>
    <w:rsid w:val="007E62C2"/>
    <w:rsid w:val="007E7FA8"/>
    <w:rsid w:val="007F0BD4"/>
    <w:rsid w:val="007F0BE6"/>
    <w:rsid w:val="007F1797"/>
    <w:rsid w:val="007F179B"/>
    <w:rsid w:val="007F1B25"/>
    <w:rsid w:val="007F2C46"/>
    <w:rsid w:val="007F2F54"/>
    <w:rsid w:val="007F36DE"/>
    <w:rsid w:val="007F3772"/>
    <w:rsid w:val="007F3CAC"/>
    <w:rsid w:val="007F3F0D"/>
    <w:rsid w:val="007F405E"/>
    <w:rsid w:val="007F4B48"/>
    <w:rsid w:val="007F548D"/>
    <w:rsid w:val="007F56AF"/>
    <w:rsid w:val="007F624B"/>
    <w:rsid w:val="007F69A3"/>
    <w:rsid w:val="007F6C5B"/>
    <w:rsid w:val="007F6C79"/>
    <w:rsid w:val="007F6F4A"/>
    <w:rsid w:val="007F76BE"/>
    <w:rsid w:val="008003F9"/>
    <w:rsid w:val="00800643"/>
    <w:rsid w:val="00800A10"/>
    <w:rsid w:val="008012E7"/>
    <w:rsid w:val="00801C13"/>
    <w:rsid w:val="00801C1D"/>
    <w:rsid w:val="008021E2"/>
    <w:rsid w:val="0080252F"/>
    <w:rsid w:val="008035FC"/>
    <w:rsid w:val="0080419E"/>
    <w:rsid w:val="008043BF"/>
    <w:rsid w:val="0080461F"/>
    <w:rsid w:val="00804D3D"/>
    <w:rsid w:val="00805C8A"/>
    <w:rsid w:val="00806180"/>
    <w:rsid w:val="00807411"/>
    <w:rsid w:val="00807AC6"/>
    <w:rsid w:val="00807C79"/>
    <w:rsid w:val="00807FFD"/>
    <w:rsid w:val="0081304B"/>
    <w:rsid w:val="00813445"/>
    <w:rsid w:val="0081536D"/>
    <w:rsid w:val="00816098"/>
    <w:rsid w:val="00816C4A"/>
    <w:rsid w:val="00817C8E"/>
    <w:rsid w:val="00817D01"/>
    <w:rsid w:val="00821C53"/>
    <w:rsid w:val="00822441"/>
    <w:rsid w:val="00822563"/>
    <w:rsid w:val="00823074"/>
    <w:rsid w:val="008233DC"/>
    <w:rsid w:val="008235E1"/>
    <w:rsid w:val="008250C1"/>
    <w:rsid w:val="00825A72"/>
    <w:rsid w:val="008265A4"/>
    <w:rsid w:val="008267DB"/>
    <w:rsid w:val="00826F3D"/>
    <w:rsid w:val="00826FBD"/>
    <w:rsid w:val="00827AF9"/>
    <w:rsid w:val="00827C0A"/>
    <w:rsid w:val="008300D6"/>
    <w:rsid w:val="00830333"/>
    <w:rsid w:val="008318B2"/>
    <w:rsid w:val="0083264B"/>
    <w:rsid w:val="00833339"/>
    <w:rsid w:val="0083394F"/>
    <w:rsid w:val="008353D1"/>
    <w:rsid w:val="008354A3"/>
    <w:rsid w:val="0083696D"/>
    <w:rsid w:val="00836A08"/>
    <w:rsid w:val="00836AEA"/>
    <w:rsid w:val="0083749C"/>
    <w:rsid w:val="00837D26"/>
    <w:rsid w:val="00837EFB"/>
    <w:rsid w:val="00840955"/>
    <w:rsid w:val="00840C66"/>
    <w:rsid w:val="00841132"/>
    <w:rsid w:val="0084153C"/>
    <w:rsid w:val="00841A84"/>
    <w:rsid w:val="00841EF3"/>
    <w:rsid w:val="00842134"/>
    <w:rsid w:val="00842551"/>
    <w:rsid w:val="00844451"/>
    <w:rsid w:val="008445E2"/>
    <w:rsid w:val="0084516B"/>
    <w:rsid w:val="008453C4"/>
    <w:rsid w:val="008466E9"/>
    <w:rsid w:val="00847509"/>
    <w:rsid w:val="0084792C"/>
    <w:rsid w:val="008479DB"/>
    <w:rsid w:val="00847A1D"/>
    <w:rsid w:val="00847F7B"/>
    <w:rsid w:val="00850EF4"/>
    <w:rsid w:val="00851F17"/>
    <w:rsid w:val="00853729"/>
    <w:rsid w:val="008553D8"/>
    <w:rsid w:val="008554B7"/>
    <w:rsid w:val="0085587B"/>
    <w:rsid w:val="00855F77"/>
    <w:rsid w:val="0085613E"/>
    <w:rsid w:val="00856A4A"/>
    <w:rsid w:val="00856CA5"/>
    <w:rsid w:val="00856D7F"/>
    <w:rsid w:val="00857F7B"/>
    <w:rsid w:val="00861721"/>
    <w:rsid w:val="008629C3"/>
    <w:rsid w:val="00862BDD"/>
    <w:rsid w:val="0086368C"/>
    <w:rsid w:val="008647C7"/>
    <w:rsid w:val="00864CA2"/>
    <w:rsid w:val="0086588B"/>
    <w:rsid w:val="00866DFF"/>
    <w:rsid w:val="008675FC"/>
    <w:rsid w:val="008707FC"/>
    <w:rsid w:val="008708F7"/>
    <w:rsid w:val="00870903"/>
    <w:rsid w:val="00872292"/>
    <w:rsid w:val="00872D0B"/>
    <w:rsid w:val="00873492"/>
    <w:rsid w:val="008738F3"/>
    <w:rsid w:val="00873B5E"/>
    <w:rsid w:val="00874547"/>
    <w:rsid w:val="0087466B"/>
    <w:rsid w:val="00874CBF"/>
    <w:rsid w:val="0087566B"/>
    <w:rsid w:val="00875808"/>
    <w:rsid w:val="00875BDA"/>
    <w:rsid w:val="00876474"/>
    <w:rsid w:val="00876A01"/>
    <w:rsid w:val="00877AE6"/>
    <w:rsid w:val="00877F8E"/>
    <w:rsid w:val="00880058"/>
    <w:rsid w:val="008806E4"/>
    <w:rsid w:val="008807D4"/>
    <w:rsid w:val="00880F6B"/>
    <w:rsid w:val="0088139E"/>
    <w:rsid w:val="00881ED5"/>
    <w:rsid w:val="008826CC"/>
    <w:rsid w:val="00882C4F"/>
    <w:rsid w:val="00883648"/>
    <w:rsid w:val="00883CC8"/>
    <w:rsid w:val="00886D8C"/>
    <w:rsid w:val="0088734D"/>
    <w:rsid w:val="0088768C"/>
    <w:rsid w:val="008903C1"/>
    <w:rsid w:val="00890457"/>
    <w:rsid w:val="0089091E"/>
    <w:rsid w:val="00890961"/>
    <w:rsid w:val="008912DB"/>
    <w:rsid w:val="0089159A"/>
    <w:rsid w:val="00891867"/>
    <w:rsid w:val="00891FD2"/>
    <w:rsid w:val="00892475"/>
    <w:rsid w:val="00892B3A"/>
    <w:rsid w:val="008939D9"/>
    <w:rsid w:val="0089445C"/>
    <w:rsid w:val="008945C4"/>
    <w:rsid w:val="00894A92"/>
    <w:rsid w:val="0089648A"/>
    <w:rsid w:val="00896DC2"/>
    <w:rsid w:val="00897661"/>
    <w:rsid w:val="00897673"/>
    <w:rsid w:val="008A201B"/>
    <w:rsid w:val="008A238D"/>
    <w:rsid w:val="008A3501"/>
    <w:rsid w:val="008A39CB"/>
    <w:rsid w:val="008A4746"/>
    <w:rsid w:val="008A676D"/>
    <w:rsid w:val="008A6D01"/>
    <w:rsid w:val="008A70E4"/>
    <w:rsid w:val="008A73AE"/>
    <w:rsid w:val="008B0F71"/>
    <w:rsid w:val="008B1A58"/>
    <w:rsid w:val="008B2C31"/>
    <w:rsid w:val="008B3B2D"/>
    <w:rsid w:val="008B41FE"/>
    <w:rsid w:val="008B46EE"/>
    <w:rsid w:val="008B4C5A"/>
    <w:rsid w:val="008B5A45"/>
    <w:rsid w:val="008B5B52"/>
    <w:rsid w:val="008B72B9"/>
    <w:rsid w:val="008C001C"/>
    <w:rsid w:val="008C018A"/>
    <w:rsid w:val="008C04D1"/>
    <w:rsid w:val="008C088D"/>
    <w:rsid w:val="008C200D"/>
    <w:rsid w:val="008C2696"/>
    <w:rsid w:val="008C28E3"/>
    <w:rsid w:val="008C2A52"/>
    <w:rsid w:val="008C4570"/>
    <w:rsid w:val="008C539F"/>
    <w:rsid w:val="008C5651"/>
    <w:rsid w:val="008C659C"/>
    <w:rsid w:val="008C7258"/>
    <w:rsid w:val="008C7906"/>
    <w:rsid w:val="008D007D"/>
    <w:rsid w:val="008D0573"/>
    <w:rsid w:val="008D0699"/>
    <w:rsid w:val="008D13AA"/>
    <w:rsid w:val="008D166D"/>
    <w:rsid w:val="008D17CF"/>
    <w:rsid w:val="008D1DFE"/>
    <w:rsid w:val="008D26C9"/>
    <w:rsid w:val="008D286F"/>
    <w:rsid w:val="008D3B51"/>
    <w:rsid w:val="008D3F20"/>
    <w:rsid w:val="008D47EC"/>
    <w:rsid w:val="008D6152"/>
    <w:rsid w:val="008D72B8"/>
    <w:rsid w:val="008E0872"/>
    <w:rsid w:val="008E1D8A"/>
    <w:rsid w:val="008E29C3"/>
    <w:rsid w:val="008E3091"/>
    <w:rsid w:val="008E311C"/>
    <w:rsid w:val="008E4539"/>
    <w:rsid w:val="008E495E"/>
    <w:rsid w:val="008E4FC6"/>
    <w:rsid w:val="008E5ABE"/>
    <w:rsid w:val="008E6040"/>
    <w:rsid w:val="008E6A4F"/>
    <w:rsid w:val="008E7C36"/>
    <w:rsid w:val="008F07DF"/>
    <w:rsid w:val="008F07FC"/>
    <w:rsid w:val="008F2534"/>
    <w:rsid w:val="008F40C7"/>
    <w:rsid w:val="008F429E"/>
    <w:rsid w:val="008F467D"/>
    <w:rsid w:val="008F47DB"/>
    <w:rsid w:val="008F692B"/>
    <w:rsid w:val="008F74D3"/>
    <w:rsid w:val="008F76FF"/>
    <w:rsid w:val="00900B73"/>
    <w:rsid w:val="00900F56"/>
    <w:rsid w:val="0090183A"/>
    <w:rsid w:val="0090351E"/>
    <w:rsid w:val="00903B82"/>
    <w:rsid w:val="009046BE"/>
    <w:rsid w:val="009046E1"/>
    <w:rsid w:val="0090687E"/>
    <w:rsid w:val="00906C1D"/>
    <w:rsid w:val="00907A13"/>
    <w:rsid w:val="00910401"/>
    <w:rsid w:val="009106AE"/>
    <w:rsid w:val="00911047"/>
    <w:rsid w:val="0091134B"/>
    <w:rsid w:val="009115E9"/>
    <w:rsid w:val="00912310"/>
    <w:rsid w:val="0091458E"/>
    <w:rsid w:val="00915E0F"/>
    <w:rsid w:val="00916AAD"/>
    <w:rsid w:val="00916B35"/>
    <w:rsid w:val="00916B73"/>
    <w:rsid w:val="00916B86"/>
    <w:rsid w:val="0092005C"/>
    <w:rsid w:val="009206F3"/>
    <w:rsid w:val="009211A8"/>
    <w:rsid w:val="00921A6A"/>
    <w:rsid w:val="009221EE"/>
    <w:rsid w:val="009222F2"/>
    <w:rsid w:val="00922913"/>
    <w:rsid w:val="009234E2"/>
    <w:rsid w:val="00924432"/>
    <w:rsid w:val="009255D0"/>
    <w:rsid w:val="009258E6"/>
    <w:rsid w:val="00925EB4"/>
    <w:rsid w:val="009273D0"/>
    <w:rsid w:val="00927D99"/>
    <w:rsid w:val="009301BB"/>
    <w:rsid w:val="009301E0"/>
    <w:rsid w:val="00931BA8"/>
    <w:rsid w:val="00933566"/>
    <w:rsid w:val="009336BE"/>
    <w:rsid w:val="00933786"/>
    <w:rsid w:val="00933897"/>
    <w:rsid w:val="00933956"/>
    <w:rsid w:val="00933C1C"/>
    <w:rsid w:val="0093412F"/>
    <w:rsid w:val="0093464B"/>
    <w:rsid w:val="00934BB6"/>
    <w:rsid w:val="009351D5"/>
    <w:rsid w:val="0093615B"/>
    <w:rsid w:val="009364CC"/>
    <w:rsid w:val="009378EE"/>
    <w:rsid w:val="00941B17"/>
    <w:rsid w:val="00941DF3"/>
    <w:rsid w:val="00942202"/>
    <w:rsid w:val="0094324D"/>
    <w:rsid w:val="0094356E"/>
    <w:rsid w:val="00943A9F"/>
    <w:rsid w:val="00945F0F"/>
    <w:rsid w:val="009473CA"/>
    <w:rsid w:val="00947BBE"/>
    <w:rsid w:val="00950608"/>
    <w:rsid w:val="00951532"/>
    <w:rsid w:val="00951D03"/>
    <w:rsid w:val="00952073"/>
    <w:rsid w:val="00953006"/>
    <w:rsid w:val="00953A8F"/>
    <w:rsid w:val="0095472C"/>
    <w:rsid w:val="00954A13"/>
    <w:rsid w:val="00955135"/>
    <w:rsid w:val="009556A6"/>
    <w:rsid w:val="00955EDF"/>
    <w:rsid w:val="00957818"/>
    <w:rsid w:val="009601B4"/>
    <w:rsid w:val="00960383"/>
    <w:rsid w:val="009627AE"/>
    <w:rsid w:val="009637D2"/>
    <w:rsid w:val="00964D9D"/>
    <w:rsid w:val="00965C8C"/>
    <w:rsid w:val="00965DE2"/>
    <w:rsid w:val="0096612A"/>
    <w:rsid w:val="00967330"/>
    <w:rsid w:val="00967A30"/>
    <w:rsid w:val="00970132"/>
    <w:rsid w:val="009735EA"/>
    <w:rsid w:val="00973FAD"/>
    <w:rsid w:val="00974523"/>
    <w:rsid w:val="00974B45"/>
    <w:rsid w:val="00974B6B"/>
    <w:rsid w:val="00974E61"/>
    <w:rsid w:val="00974E8E"/>
    <w:rsid w:val="00974FAD"/>
    <w:rsid w:val="0097517F"/>
    <w:rsid w:val="00975353"/>
    <w:rsid w:val="00975505"/>
    <w:rsid w:val="009767E6"/>
    <w:rsid w:val="0097690C"/>
    <w:rsid w:val="00977DF8"/>
    <w:rsid w:val="00981169"/>
    <w:rsid w:val="0098191D"/>
    <w:rsid w:val="00981EE3"/>
    <w:rsid w:val="00982262"/>
    <w:rsid w:val="00982B15"/>
    <w:rsid w:val="00982F78"/>
    <w:rsid w:val="0098407A"/>
    <w:rsid w:val="00984AB9"/>
    <w:rsid w:val="00984CFF"/>
    <w:rsid w:val="009851C7"/>
    <w:rsid w:val="00986148"/>
    <w:rsid w:val="0098621A"/>
    <w:rsid w:val="0099092A"/>
    <w:rsid w:val="00990A3E"/>
    <w:rsid w:val="0099396E"/>
    <w:rsid w:val="00993B31"/>
    <w:rsid w:val="00993F5A"/>
    <w:rsid w:val="00995386"/>
    <w:rsid w:val="00995972"/>
    <w:rsid w:val="00995D7E"/>
    <w:rsid w:val="009A0A9B"/>
    <w:rsid w:val="009A0B37"/>
    <w:rsid w:val="009A0F48"/>
    <w:rsid w:val="009A0FD7"/>
    <w:rsid w:val="009A1034"/>
    <w:rsid w:val="009A15A3"/>
    <w:rsid w:val="009A1741"/>
    <w:rsid w:val="009A1785"/>
    <w:rsid w:val="009A2487"/>
    <w:rsid w:val="009A248B"/>
    <w:rsid w:val="009A2DAB"/>
    <w:rsid w:val="009A3304"/>
    <w:rsid w:val="009A3BBB"/>
    <w:rsid w:val="009A3CBD"/>
    <w:rsid w:val="009A6095"/>
    <w:rsid w:val="009A67A3"/>
    <w:rsid w:val="009A68BB"/>
    <w:rsid w:val="009A7A6F"/>
    <w:rsid w:val="009A7B22"/>
    <w:rsid w:val="009A7BC8"/>
    <w:rsid w:val="009B001C"/>
    <w:rsid w:val="009B0C89"/>
    <w:rsid w:val="009B1DB4"/>
    <w:rsid w:val="009B27FA"/>
    <w:rsid w:val="009B4F37"/>
    <w:rsid w:val="009B5F2B"/>
    <w:rsid w:val="009B60D0"/>
    <w:rsid w:val="009B6742"/>
    <w:rsid w:val="009B6BCE"/>
    <w:rsid w:val="009B7AE3"/>
    <w:rsid w:val="009B7E30"/>
    <w:rsid w:val="009C0AC3"/>
    <w:rsid w:val="009C0DA3"/>
    <w:rsid w:val="009C0EBF"/>
    <w:rsid w:val="009C1BC4"/>
    <w:rsid w:val="009C212E"/>
    <w:rsid w:val="009C3985"/>
    <w:rsid w:val="009C500C"/>
    <w:rsid w:val="009C5A6E"/>
    <w:rsid w:val="009C6F3F"/>
    <w:rsid w:val="009C7228"/>
    <w:rsid w:val="009D0D09"/>
    <w:rsid w:val="009D1DF8"/>
    <w:rsid w:val="009D271C"/>
    <w:rsid w:val="009D2853"/>
    <w:rsid w:val="009D350E"/>
    <w:rsid w:val="009D3545"/>
    <w:rsid w:val="009D3737"/>
    <w:rsid w:val="009D3D75"/>
    <w:rsid w:val="009D4387"/>
    <w:rsid w:val="009D47A7"/>
    <w:rsid w:val="009D4BCB"/>
    <w:rsid w:val="009D5091"/>
    <w:rsid w:val="009D6C86"/>
    <w:rsid w:val="009D7632"/>
    <w:rsid w:val="009D7BDF"/>
    <w:rsid w:val="009D7C5E"/>
    <w:rsid w:val="009E0525"/>
    <w:rsid w:val="009E12BC"/>
    <w:rsid w:val="009E177D"/>
    <w:rsid w:val="009E20A2"/>
    <w:rsid w:val="009E245D"/>
    <w:rsid w:val="009E2734"/>
    <w:rsid w:val="009E3FD0"/>
    <w:rsid w:val="009E468B"/>
    <w:rsid w:val="009E4AF4"/>
    <w:rsid w:val="009E4FCB"/>
    <w:rsid w:val="009E5B04"/>
    <w:rsid w:val="009E65F1"/>
    <w:rsid w:val="009E7262"/>
    <w:rsid w:val="009F1E9F"/>
    <w:rsid w:val="009F2F2B"/>
    <w:rsid w:val="009F3DE3"/>
    <w:rsid w:val="009F3FD8"/>
    <w:rsid w:val="009F459B"/>
    <w:rsid w:val="009F5169"/>
    <w:rsid w:val="009F58A7"/>
    <w:rsid w:val="009F5B33"/>
    <w:rsid w:val="009F786C"/>
    <w:rsid w:val="009F7B32"/>
    <w:rsid w:val="00A007A5"/>
    <w:rsid w:val="00A00DB8"/>
    <w:rsid w:val="00A026DA"/>
    <w:rsid w:val="00A050B3"/>
    <w:rsid w:val="00A05AF6"/>
    <w:rsid w:val="00A05CAF"/>
    <w:rsid w:val="00A061C6"/>
    <w:rsid w:val="00A06590"/>
    <w:rsid w:val="00A06BE7"/>
    <w:rsid w:val="00A074E9"/>
    <w:rsid w:val="00A07542"/>
    <w:rsid w:val="00A07837"/>
    <w:rsid w:val="00A07DF1"/>
    <w:rsid w:val="00A10911"/>
    <w:rsid w:val="00A1128E"/>
    <w:rsid w:val="00A11842"/>
    <w:rsid w:val="00A11C1D"/>
    <w:rsid w:val="00A1250A"/>
    <w:rsid w:val="00A128DF"/>
    <w:rsid w:val="00A145EF"/>
    <w:rsid w:val="00A147FE"/>
    <w:rsid w:val="00A15252"/>
    <w:rsid w:val="00A15800"/>
    <w:rsid w:val="00A16663"/>
    <w:rsid w:val="00A16B40"/>
    <w:rsid w:val="00A179D2"/>
    <w:rsid w:val="00A17E38"/>
    <w:rsid w:val="00A202F4"/>
    <w:rsid w:val="00A205A2"/>
    <w:rsid w:val="00A2112F"/>
    <w:rsid w:val="00A23994"/>
    <w:rsid w:val="00A23ADE"/>
    <w:rsid w:val="00A24B2E"/>
    <w:rsid w:val="00A24F0F"/>
    <w:rsid w:val="00A25106"/>
    <w:rsid w:val="00A252AF"/>
    <w:rsid w:val="00A25E8B"/>
    <w:rsid w:val="00A262DD"/>
    <w:rsid w:val="00A26416"/>
    <w:rsid w:val="00A264BF"/>
    <w:rsid w:val="00A26A67"/>
    <w:rsid w:val="00A2778D"/>
    <w:rsid w:val="00A27969"/>
    <w:rsid w:val="00A31076"/>
    <w:rsid w:val="00A31C92"/>
    <w:rsid w:val="00A32814"/>
    <w:rsid w:val="00A336B1"/>
    <w:rsid w:val="00A346BD"/>
    <w:rsid w:val="00A3536D"/>
    <w:rsid w:val="00A353A5"/>
    <w:rsid w:val="00A3613B"/>
    <w:rsid w:val="00A364D0"/>
    <w:rsid w:val="00A37E57"/>
    <w:rsid w:val="00A4081A"/>
    <w:rsid w:val="00A40AC4"/>
    <w:rsid w:val="00A40ED7"/>
    <w:rsid w:val="00A41139"/>
    <w:rsid w:val="00A41585"/>
    <w:rsid w:val="00A41902"/>
    <w:rsid w:val="00A41DAD"/>
    <w:rsid w:val="00A42D14"/>
    <w:rsid w:val="00A43379"/>
    <w:rsid w:val="00A43386"/>
    <w:rsid w:val="00A44C5D"/>
    <w:rsid w:val="00A45EB3"/>
    <w:rsid w:val="00A46D92"/>
    <w:rsid w:val="00A47A56"/>
    <w:rsid w:val="00A47EBD"/>
    <w:rsid w:val="00A47EEA"/>
    <w:rsid w:val="00A518C9"/>
    <w:rsid w:val="00A52909"/>
    <w:rsid w:val="00A52986"/>
    <w:rsid w:val="00A5385E"/>
    <w:rsid w:val="00A53B8A"/>
    <w:rsid w:val="00A53F74"/>
    <w:rsid w:val="00A54BEC"/>
    <w:rsid w:val="00A5519D"/>
    <w:rsid w:val="00A55766"/>
    <w:rsid w:val="00A55E49"/>
    <w:rsid w:val="00A56464"/>
    <w:rsid w:val="00A5742F"/>
    <w:rsid w:val="00A603B2"/>
    <w:rsid w:val="00A60A7B"/>
    <w:rsid w:val="00A61B1F"/>
    <w:rsid w:val="00A634CF"/>
    <w:rsid w:val="00A63D06"/>
    <w:rsid w:val="00A64473"/>
    <w:rsid w:val="00A64D84"/>
    <w:rsid w:val="00A65DA2"/>
    <w:rsid w:val="00A66267"/>
    <w:rsid w:val="00A66478"/>
    <w:rsid w:val="00A665E0"/>
    <w:rsid w:val="00A701FF"/>
    <w:rsid w:val="00A70A47"/>
    <w:rsid w:val="00A70ACA"/>
    <w:rsid w:val="00A71599"/>
    <w:rsid w:val="00A71DD0"/>
    <w:rsid w:val="00A72773"/>
    <w:rsid w:val="00A72A13"/>
    <w:rsid w:val="00A74261"/>
    <w:rsid w:val="00A74CF2"/>
    <w:rsid w:val="00A750FB"/>
    <w:rsid w:val="00A75321"/>
    <w:rsid w:val="00A753DA"/>
    <w:rsid w:val="00A7551B"/>
    <w:rsid w:val="00A765E5"/>
    <w:rsid w:val="00A76F07"/>
    <w:rsid w:val="00A7773E"/>
    <w:rsid w:val="00A777A4"/>
    <w:rsid w:val="00A80AFA"/>
    <w:rsid w:val="00A80D54"/>
    <w:rsid w:val="00A81CC2"/>
    <w:rsid w:val="00A8289C"/>
    <w:rsid w:val="00A8315D"/>
    <w:rsid w:val="00A83876"/>
    <w:rsid w:val="00A84B82"/>
    <w:rsid w:val="00A8541B"/>
    <w:rsid w:val="00A85513"/>
    <w:rsid w:val="00A858FF"/>
    <w:rsid w:val="00A867A0"/>
    <w:rsid w:val="00A86F7F"/>
    <w:rsid w:val="00A90068"/>
    <w:rsid w:val="00A904B0"/>
    <w:rsid w:val="00A90C48"/>
    <w:rsid w:val="00A91A54"/>
    <w:rsid w:val="00A926C5"/>
    <w:rsid w:val="00A93591"/>
    <w:rsid w:val="00A938FF"/>
    <w:rsid w:val="00A939A9"/>
    <w:rsid w:val="00A96824"/>
    <w:rsid w:val="00A970A3"/>
    <w:rsid w:val="00AA0113"/>
    <w:rsid w:val="00AA02AD"/>
    <w:rsid w:val="00AA0717"/>
    <w:rsid w:val="00AA0A56"/>
    <w:rsid w:val="00AA11E5"/>
    <w:rsid w:val="00AA19F5"/>
    <w:rsid w:val="00AA244D"/>
    <w:rsid w:val="00AA24A6"/>
    <w:rsid w:val="00AA25F4"/>
    <w:rsid w:val="00AA3966"/>
    <w:rsid w:val="00AA3DEA"/>
    <w:rsid w:val="00AA4118"/>
    <w:rsid w:val="00AA4F1C"/>
    <w:rsid w:val="00AA5C00"/>
    <w:rsid w:val="00AA5C4B"/>
    <w:rsid w:val="00AA5E2F"/>
    <w:rsid w:val="00AA6152"/>
    <w:rsid w:val="00AA61DB"/>
    <w:rsid w:val="00AA64B2"/>
    <w:rsid w:val="00AA6A51"/>
    <w:rsid w:val="00AA6D69"/>
    <w:rsid w:val="00AA7CA6"/>
    <w:rsid w:val="00AB033D"/>
    <w:rsid w:val="00AB05E5"/>
    <w:rsid w:val="00AB1DE3"/>
    <w:rsid w:val="00AB212F"/>
    <w:rsid w:val="00AB2A18"/>
    <w:rsid w:val="00AB3DFB"/>
    <w:rsid w:val="00AB42F4"/>
    <w:rsid w:val="00AB4E5A"/>
    <w:rsid w:val="00AB4FBD"/>
    <w:rsid w:val="00AB56F0"/>
    <w:rsid w:val="00AB63BD"/>
    <w:rsid w:val="00AB64EF"/>
    <w:rsid w:val="00AB6C7F"/>
    <w:rsid w:val="00AC00DE"/>
    <w:rsid w:val="00AC0118"/>
    <w:rsid w:val="00AC03E6"/>
    <w:rsid w:val="00AC082D"/>
    <w:rsid w:val="00AC1331"/>
    <w:rsid w:val="00AC25C8"/>
    <w:rsid w:val="00AC27A5"/>
    <w:rsid w:val="00AC284A"/>
    <w:rsid w:val="00AC31A2"/>
    <w:rsid w:val="00AC3396"/>
    <w:rsid w:val="00AC3558"/>
    <w:rsid w:val="00AC358C"/>
    <w:rsid w:val="00AC4207"/>
    <w:rsid w:val="00AC4294"/>
    <w:rsid w:val="00AC4C4B"/>
    <w:rsid w:val="00AC5797"/>
    <w:rsid w:val="00AC58F8"/>
    <w:rsid w:val="00AC7367"/>
    <w:rsid w:val="00AC7C82"/>
    <w:rsid w:val="00AD00A2"/>
    <w:rsid w:val="00AD1875"/>
    <w:rsid w:val="00AD18C8"/>
    <w:rsid w:val="00AD19CE"/>
    <w:rsid w:val="00AD1F7F"/>
    <w:rsid w:val="00AD2454"/>
    <w:rsid w:val="00AD30FB"/>
    <w:rsid w:val="00AD34DA"/>
    <w:rsid w:val="00AD38A4"/>
    <w:rsid w:val="00AD4408"/>
    <w:rsid w:val="00AD4C4B"/>
    <w:rsid w:val="00AD4CC0"/>
    <w:rsid w:val="00AD4D00"/>
    <w:rsid w:val="00AD4DB0"/>
    <w:rsid w:val="00AD4DB3"/>
    <w:rsid w:val="00AD4ECC"/>
    <w:rsid w:val="00AD5140"/>
    <w:rsid w:val="00AD5D33"/>
    <w:rsid w:val="00AD5ED2"/>
    <w:rsid w:val="00AD699F"/>
    <w:rsid w:val="00AD7C45"/>
    <w:rsid w:val="00AE11D2"/>
    <w:rsid w:val="00AE1FE6"/>
    <w:rsid w:val="00AE284D"/>
    <w:rsid w:val="00AE2B11"/>
    <w:rsid w:val="00AE2DC1"/>
    <w:rsid w:val="00AE2F30"/>
    <w:rsid w:val="00AE2FCC"/>
    <w:rsid w:val="00AE304C"/>
    <w:rsid w:val="00AE4004"/>
    <w:rsid w:val="00AE41A5"/>
    <w:rsid w:val="00AE5A71"/>
    <w:rsid w:val="00AF0058"/>
    <w:rsid w:val="00AF1173"/>
    <w:rsid w:val="00AF1E59"/>
    <w:rsid w:val="00AF3032"/>
    <w:rsid w:val="00AF3291"/>
    <w:rsid w:val="00AF356D"/>
    <w:rsid w:val="00AF47A4"/>
    <w:rsid w:val="00AF5645"/>
    <w:rsid w:val="00AF5B1B"/>
    <w:rsid w:val="00AF65CB"/>
    <w:rsid w:val="00AF675C"/>
    <w:rsid w:val="00AF684E"/>
    <w:rsid w:val="00AF6FCB"/>
    <w:rsid w:val="00B000FC"/>
    <w:rsid w:val="00B008A6"/>
    <w:rsid w:val="00B01C7B"/>
    <w:rsid w:val="00B026D0"/>
    <w:rsid w:val="00B0464D"/>
    <w:rsid w:val="00B04EFD"/>
    <w:rsid w:val="00B053A1"/>
    <w:rsid w:val="00B05BFD"/>
    <w:rsid w:val="00B06FB9"/>
    <w:rsid w:val="00B1133F"/>
    <w:rsid w:val="00B1198C"/>
    <w:rsid w:val="00B11FDA"/>
    <w:rsid w:val="00B1282A"/>
    <w:rsid w:val="00B136DE"/>
    <w:rsid w:val="00B13F0C"/>
    <w:rsid w:val="00B144AB"/>
    <w:rsid w:val="00B14FF2"/>
    <w:rsid w:val="00B15852"/>
    <w:rsid w:val="00B16028"/>
    <w:rsid w:val="00B164E6"/>
    <w:rsid w:val="00B21820"/>
    <w:rsid w:val="00B2211F"/>
    <w:rsid w:val="00B22398"/>
    <w:rsid w:val="00B2646E"/>
    <w:rsid w:val="00B27DFE"/>
    <w:rsid w:val="00B3055A"/>
    <w:rsid w:val="00B30794"/>
    <w:rsid w:val="00B31333"/>
    <w:rsid w:val="00B3167B"/>
    <w:rsid w:val="00B323CA"/>
    <w:rsid w:val="00B334A6"/>
    <w:rsid w:val="00B334DA"/>
    <w:rsid w:val="00B336D8"/>
    <w:rsid w:val="00B33ECA"/>
    <w:rsid w:val="00B33ED9"/>
    <w:rsid w:val="00B3475D"/>
    <w:rsid w:val="00B34D99"/>
    <w:rsid w:val="00B34DF8"/>
    <w:rsid w:val="00B37490"/>
    <w:rsid w:val="00B377DA"/>
    <w:rsid w:val="00B37A12"/>
    <w:rsid w:val="00B402DC"/>
    <w:rsid w:val="00B41F79"/>
    <w:rsid w:val="00B42365"/>
    <w:rsid w:val="00B427D1"/>
    <w:rsid w:val="00B43BFC"/>
    <w:rsid w:val="00B44917"/>
    <w:rsid w:val="00B44CDA"/>
    <w:rsid w:val="00B45C35"/>
    <w:rsid w:val="00B46138"/>
    <w:rsid w:val="00B46996"/>
    <w:rsid w:val="00B46BE7"/>
    <w:rsid w:val="00B50BD6"/>
    <w:rsid w:val="00B50E29"/>
    <w:rsid w:val="00B50EE1"/>
    <w:rsid w:val="00B50FB0"/>
    <w:rsid w:val="00B52662"/>
    <w:rsid w:val="00B5347C"/>
    <w:rsid w:val="00B535EF"/>
    <w:rsid w:val="00B53A84"/>
    <w:rsid w:val="00B54416"/>
    <w:rsid w:val="00B54C02"/>
    <w:rsid w:val="00B54F2D"/>
    <w:rsid w:val="00B55D98"/>
    <w:rsid w:val="00B560D2"/>
    <w:rsid w:val="00B576DE"/>
    <w:rsid w:val="00B601AB"/>
    <w:rsid w:val="00B6085A"/>
    <w:rsid w:val="00B61507"/>
    <w:rsid w:val="00B61AB4"/>
    <w:rsid w:val="00B62766"/>
    <w:rsid w:val="00B62A3F"/>
    <w:rsid w:val="00B62F2A"/>
    <w:rsid w:val="00B64900"/>
    <w:rsid w:val="00B64E6F"/>
    <w:rsid w:val="00B64E76"/>
    <w:rsid w:val="00B64F28"/>
    <w:rsid w:val="00B65963"/>
    <w:rsid w:val="00B66EF7"/>
    <w:rsid w:val="00B6735E"/>
    <w:rsid w:val="00B6777F"/>
    <w:rsid w:val="00B679E9"/>
    <w:rsid w:val="00B67BBD"/>
    <w:rsid w:val="00B70636"/>
    <w:rsid w:val="00B71AE3"/>
    <w:rsid w:val="00B71BC6"/>
    <w:rsid w:val="00B7232B"/>
    <w:rsid w:val="00B731FA"/>
    <w:rsid w:val="00B75DED"/>
    <w:rsid w:val="00B75ED4"/>
    <w:rsid w:val="00B76027"/>
    <w:rsid w:val="00B762E3"/>
    <w:rsid w:val="00B76D74"/>
    <w:rsid w:val="00B80EF6"/>
    <w:rsid w:val="00B814F7"/>
    <w:rsid w:val="00B81FE8"/>
    <w:rsid w:val="00B82029"/>
    <w:rsid w:val="00B83046"/>
    <w:rsid w:val="00B833FF"/>
    <w:rsid w:val="00B840B7"/>
    <w:rsid w:val="00B84720"/>
    <w:rsid w:val="00B84C49"/>
    <w:rsid w:val="00B86806"/>
    <w:rsid w:val="00B8699F"/>
    <w:rsid w:val="00B86B75"/>
    <w:rsid w:val="00B87417"/>
    <w:rsid w:val="00B879BE"/>
    <w:rsid w:val="00B901C2"/>
    <w:rsid w:val="00B90742"/>
    <w:rsid w:val="00B90878"/>
    <w:rsid w:val="00B90C05"/>
    <w:rsid w:val="00B91E50"/>
    <w:rsid w:val="00B92048"/>
    <w:rsid w:val="00B926C3"/>
    <w:rsid w:val="00B9319F"/>
    <w:rsid w:val="00B937FE"/>
    <w:rsid w:val="00B9395E"/>
    <w:rsid w:val="00B94354"/>
    <w:rsid w:val="00B94601"/>
    <w:rsid w:val="00B94614"/>
    <w:rsid w:val="00B94719"/>
    <w:rsid w:val="00B9475D"/>
    <w:rsid w:val="00B94FFD"/>
    <w:rsid w:val="00B965F9"/>
    <w:rsid w:val="00BA0004"/>
    <w:rsid w:val="00BA08B4"/>
    <w:rsid w:val="00BA0BF0"/>
    <w:rsid w:val="00BA0D20"/>
    <w:rsid w:val="00BA1225"/>
    <w:rsid w:val="00BA13E5"/>
    <w:rsid w:val="00BA2C54"/>
    <w:rsid w:val="00BA2EF7"/>
    <w:rsid w:val="00BA2FD4"/>
    <w:rsid w:val="00BA3140"/>
    <w:rsid w:val="00BA42D7"/>
    <w:rsid w:val="00BA47B5"/>
    <w:rsid w:val="00BA4E3A"/>
    <w:rsid w:val="00BA5000"/>
    <w:rsid w:val="00BA5972"/>
    <w:rsid w:val="00BA5CF6"/>
    <w:rsid w:val="00BA5D6A"/>
    <w:rsid w:val="00BA6361"/>
    <w:rsid w:val="00BA67CD"/>
    <w:rsid w:val="00BA7037"/>
    <w:rsid w:val="00BB0888"/>
    <w:rsid w:val="00BB1761"/>
    <w:rsid w:val="00BB1E9C"/>
    <w:rsid w:val="00BB2686"/>
    <w:rsid w:val="00BB281B"/>
    <w:rsid w:val="00BB284B"/>
    <w:rsid w:val="00BB3729"/>
    <w:rsid w:val="00BB5D86"/>
    <w:rsid w:val="00BB6A0A"/>
    <w:rsid w:val="00BB6B45"/>
    <w:rsid w:val="00BB7810"/>
    <w:rsid w:val="00BC0E92"/>
    <w:rsid w:val="00BC17DB"/>
    <w:rsid w:val="00BC193D"/>
    <w:rsid w:val="00BC2C5B"/>
    <w:rsid w:val="00BC30D5"/>
    <w:rsid w:val="00BC45ED"/>
    <w:rsid w:val="00BC4C50"/>
    <w:rsid w:val="00BC67C4"/>
    <w:rsid w:val="00BC698B"/>
    <w:rsid w:val="00BC77ED"/>
    <w:rsid w:val="00BC7B23"/>
    <w:rsid w:val="00BC7DC9"/>
    <w:rsid w:val="00BD0CBB"/>
    <w:rsid w:val="00BD1B18"/>
    <w:rsid w:val="00BD2F7D"/>
    <w:rsid w:val="00BD3098"/>
    <w:rsid w:val="00BD3282"/>
    <w:rsid w:val="00BD33F9"/>
    <w:rsid w:val="00BD34CF"/>
    <w:rsid w:val="00BD4950"/>
    <w:rsid w:val="00BD51AB"/>
    <w:rsid w:val="00BD5E1C"/>
    <w:rsid w:val="00BD5F0D"/>
    <w:rsid w:val="00BE0C8D"/>
    <w:rsid w:val="00BE0F2A"/>
    <w:rsid w:val="00BE1A35"/>
    <w:rsid w:val="00BE2407"/>
    <w:rsid w:val="00BE3281"/>
    <w:rsid w:val="00BE3381"/>
    <w:rsid w:val="00BE599D"/>
    <w:rsid w:val="00BE5BA1"/>
    <w:rsid w:val="00BE7CEB"/>
    <w:rsid w:val="00BE7EFC"/>
    <w:rsid w:val="00BF0EDF"/>
    <w:rsid w:val="00BF12C2"/>
    <w:rsid w:val="00BF1D48"/>
    <w:rsid w:val="00BF2785"/>
    <w:rsid w:val="00BF2C30"/>
    <w:rsid w:val="00BF34B2"/>
    <w:rsid w:val="00BF4981"/>
    <w:rsid w:val="00BF5A4B"/>
    <w:rsid w:val="00BF5ED5"/>
    <w:rsid w:val="00BF5F65"/>
    <w:rsid w:val="00BF639D"/>
    <w:rsid w:val="00BF64E9"/>
    <w:rsid w:val="00BF7564"/>
    <w:rsid w:val="00BF77D6"/>
    <w:rsid w:val="00BF7A35"/>
    <w:rsid w:val="00BF7F00"/>
    <w:rsid w:val="00C00241"/>
    <w:rsid w:val="00C0118C"/>
    <w:rsid w:val="00C02A9D"/>
    <w:rsid w:val="00C03D09"/>
    <w:rsid w:val="00C03E6B"/>
    <w:rsid w:val="00C04064"/>
    <w:rsid w:val="00C07222"/>
    <w:rsid w:val="00C077B7"/>
    <w:rsid w:val="00C100A7"/>
    <w:rsid w:val="00C13830"/>
    <w:rsid w:val="00C139FD"/>
    <w:rsid w:val="00C153BB"/>
    <w:rsid w:val="00C172D0"/>
    <w:rsid w:val="00C201A0"/>
    <w:rsid w:val="00C21A19"/>
    <w:rsid w:val="00C21AB1"/>
    <w:rsid w:val="00C21D39"/>
    <w:rsid w:val="00C2216D"/>
    <w:rsid w:val="00C23A24"/>
    <w:rsid w:val="00C241B9"/>
    <w:rsid w:val="00C254CD"/>
    <w:rsid w:val="00C25B89"/>
    <w:rsid w:val="00C25E00"/>
    <w:rsid w:val="00C26967"/>
    <w:rsid w:val="00C2730B"/>
    <w:rsid w:val="00C27D8D"/>
    <w:rsid w:val="00C30EE4"/>
    <w:rsid w:val="00C31104"/>
    <w:rsid w:val="00C315ED"/>
    <w:rsid w:val="00C32379"/>
    <w:rsid w:val="00C3246E"/>
    <w:rsid w:val="00C33637"/>
    <w:rsid w:val="00C336CC"/>
    <w:rsid w:val="00C33AF4"/>
    <w:rsid w:val="00C34A82"/>
    <w:rsid w:val="00C34BC1"/>
    <w:rsid w:val="00C34F95"/>
    <w:rsid w:val="00C35A15"/>
    <w:rsid w:val="00C3720B"/>
    <w:rsid w:val="00C37B9D"/>
    <w:rsid w:val="00C40611"/>
    <w:rsid w:val="00C420EF"/>
    <w:rsid w:val="00C42501"/>
    <w:rsid w:val="00C42561"/>
    <w:rsid w:val="00C42BD6"/>
    <w:rsid w:val="00C45044"/>
    <w:rsid w:val="00C46310"/>
    <w:rsid w:val="00C47C54"/>
    <w:rsid w:val="00C47FA2"/>
    <w:rsid w:val="00C50D19"/>
    <w:rsid w:val="00C51217"/>
    <w:rsid w:val="00C51A1D"/>
    <w:rsid w:val="00C529F6"/>
    <w:rsid w:val="00C53168"/>
    <w:rsid w:val="00C55EFF"/>
    <w:rsid w:val="00C56E41"/>
    <w:rsid w:val="00C57A4A"/>
    <w:rsid w:val="00C57DD8"/>
    <w:rsid w:val="00C601A9"/>
    <w:rsid w:val="00C602CB"/>
    <w:rsid w:val="00C62AD7"/>
    <w:rsid w:val="00C636C0"/>
    <w:rsid w:val="00C63BE1"/>
    <w:rsid w:val="00C6437D"/>
    <w:rsid w:val="00C64646"/>
    <w:rsid w:val="00C64E4E"/>
    <w:rsid w:val="00C65460"/>
    <w:rsid w:val="00C657FD"/>
    <w:rsid w:val="00C65EE7"/>
    <w:rsid w:val="00C66290"/>
    <w:rsid w:val="00C677E5"/>
    <w:rsid w:val="00C67AE3"/>
    <w:rsid w:val="00C7034D"/>
    <w:rsid w:val="00C710F8"/>
    <w:rsid w:val="00C71A3B"/>
    <w:rsid w:val="00C72637"/>
    <w:rsid w:val="00C729C0"/>
    <w:rsid w:val="00C72B67"/>
    <w:rsid w:val="00C733EA"/>
    <w:rsid w:val="00C73923"/>
    <w:rsid w:val="00C744A2"/>
    <w:rsid w:val="00C74BAE"/>
    <w:rsid w:val="00C74D6A"/>
    <w:rsid w:val="00C74E34"/>
    <w:rsid w:val="00C74EAA"/>
    <w:rsid w:val="00C77BB0"/>
    <w:rsid w:val="00C801BF"/>
    <w:rsid w:val="00C80938"/>
    <w:rsid w:val="00C80F63"/>
    <w:rsid w:val="00C81D9E"/>
    <w:rsid w:val="00C82335"/>
    <w:rsid w:val="00C824B6"/>
    <w:rsid w:val="00C85577"/>
    <w:rsid w:val="00C85E2B"/>
    <w:rsid w:val="00C87A7D"/>
    <w:rsid w:val="00C87AAD"/>
    <w:rsid w:val="00C90CD8"/>
    <w:rsid w:val="00C91CBC"/>
    <w:rsid w:val="00C91D42"/>
    <w:rsid w:val="00C91D5D"/>
    <w:rsid w:val="00C92A56"/>
    <w:rsid w:val="00C9351E"/>
    <w:rsid w:val="00C93E95"/>
    <w:rsid w:val="00C94816"/>
    <w:rsid w:val="00C9494C"/>
    <w:rsid w:val="00C952DE"/>
    <w:rsid w:val="00C95AD0"/>
    <w:rsid w:val="00C962B0"/>
    <w:rsid w:val="00C966BC"/>
    <w:rsid w:val="00C96D48"/>
    <w:rsid w:val="00C9739E"/>
    <w:rsid w:val="00CA1847"/>
    <w:rsid w:val="00CA1DB0"/>
    <w:rsid w:val="00CA2FEC"/>
    <w:rsid w:val="00CA347B"/>
    <w:rsid w:val="00CA4B74"/>
    <w:rsid w:val="00CA6183"/>
    <w:rsid w:val="00CA67B9"/>
    <w:rsid w:val="00CA764F"/>
    <w:rsid w:val="00CB02C5"/>
    <w:rsid w:val="00CB06CD"/>
    <w:rsid w:val="00CB151C"/>
    <w:rsid w:val="00CB1A71"/>
    <w:rsid w:val="00CB27C8"/>
    <w:rsid w:val="00CB3432"/>
    <w:rsid w:val="00CB47B4"/>
    <w:rsid w:val="00CB4E5B"/>
    <w:rsid w:val="00CB5255"/>
    <w:rsid w:val="00CB544A"/>
    <w:rsid w:val="00CB5811"/>
    <w:rsid w:val="00CB5F86"/>
    <w:rsid w:val="00CB5FE6"/>
    <w:rsid w:val="00CC06EF"/>
    <w:rsid w:val="00CC0CEC"/>
    <w:rsid w:val="00CC1826"/>
    <w:rsid w:val="00CC212F"/>
    <w:rsid w:val="00CC25E0"/>
    <w:rsid w:val="00CC2B18"/>
    <w:rsid w:val="00CC5F1A"/>
    <w:rsid w:val="00CC6F28"/>
    <w:rsid w:val="00CD012F"/>
    <w:rsid w:val="00CD1795"/>
    <w:rsid w:val="00CD1FCD"/>
    <w:rsid w:val="00CD2EAC"/>
    <w:rsid w:val="00CD43AE"/>
    <w:rsid w:val="00CD5233"/>
    <w:rsid w:val="00CD5B81"/>
    <w:rsid w:val="00CD62D7"/>
    <w:rsid w:val="00CD6843"/>
    <w:rsid w:val="00CD6E8B"/>
    <w:rsid w:val="00CE00F9"/>
    <w:rsid w:val="00CE0289"/>
    <w:rsid w:val="00CE1E82"/>
    <w:rsid w:val="00CE2287"/>
    <w:rsid w:val="00CE22AA"/>
    <w:rsid w:val="00CE22EE"/>
    <w:rsid w:val="00CE292B"/>
    <w:rsid w:val="00CE2DD2"/>
    <w:rsid w:val="00CE33E5"/>
    <w:rsid w:val="00CE4553"/>
    <w:rsid w:val="00CE50E1"/>
    <w:rsid w:val="00CE5F35"/>
    <w:rsid w:val="00CE6166"/>
    <w:rsid w:val="00CE7014"/>
    <w:rsid w:val="00CE7309"/>
    <w:rsid w:val="00CE7688"/>
    <w:rsid w:val="00CE76C5"/>
    <w:rsid w:val="00CE7F77"/>
    <w:rsid w:val="00CF011E"/>
    <w:rsid w:val="00CF1C9F"/>
    <w:rsid w:val="00CF23AB"/>
    <w:rsid w:val="00CF2773"/>
    <w:rsid w:val="00CF2E12"/>
    <w:rsid w:val="00CF5BAF"/>
    <w:rsid w:val="00CF78AE"/>
    <w:rsid w:val="00D00AC2"/>
    <w:rsid w:val="00D01600"/>
    <w:rsid w:val="00D01F51"/>
    <w:rsid w:val="00D0217C"/>
    <w:rsid w:val="00D05C5E"/>
    <w:rsid w:val="00D061DF"/>
    <w:rsid w:val="00D0625F"/>
    <w:rsid w:val="00D062CB"/>
    <w:rsid w:val="00D0650E"/>
    <w:rsid w:val="00D06C33"/>
    <w:rsid w:val="00D0790D"/>
    <w:rsid w:val="00D10AFA"/>
    <w:rsid w:val="00D11CF7"/>
    <w:rsid w:val="00D11E41"/>
    <w:rsid w:val="00D12B29"/>
    <w:rsid w:val="00D13D58"/>
    <w:rsid w:val="00D14691"/>
    <w:rsid w:val="00D14798"/>
    <w:rsid w:val="00D159AC"/>
    <w:rsid w:val="00D16045"/>
    <w:rsid w:val="00D1632C"/>
    <w:rsid w:val="00D16B56"/>
    <w:rsid w:val="00D16B7F"/>
    <w:rsid w:val="00D16FF4"/>
    <w:rsid w:val="00D1709D"/>
    <w:rsid w:val="00D2043C"/>
    <w:rsid w:val="00D20D9A"/>
    <w:rsid w:val="00D2245F"/>
    <w:rsid w:val="00D22D3A"/>
    <w:rsid w:val="00D23190"/>
    <w:rsid w:val="00D23366"/>
    <w:rsid w:val="00D25BA5"/>
    <w:rsid w:val="00D26582"/>
    <w:rsid w:val="00D26A46"/>
    <w:rsid w:val="00D30831"/>
    <w:rsid w:val="00D30E93"/>
    <w:rsid w:val="00D32B41"/>
    <w:rsid w:val="00D33075"/>
    <w:rsid w:val="00D33214"/>
    <w:rsid w:val="00D340AB"/>
    <w:rsid w:val="00D3415F"/>
    <w:rsid w:val="00D35B18"/>
    <w:rsid w:val="00D35B61"/>
    <w:rsid w:val="00D35D11"/>
    <w:rsid w:val="00D3645D"/>
    <w:rsid w:val="00D36A30"/>
    <w:rsid w:val="00D4084C"/>
    <w:rsid w:val="00D412E0"/>
    <w:rsid w:val="00D42AAE"/>
    <w:rsid w:val="00D42ADD"/>
    <w:rsid w:val="00D442B0"/>
    <w:rsid w:val="00D44E61"/>
    <w:rsid w:val="00D44FF1"/>
    <w:rsid w:val="00D45CC5"/>
    <w:rsid w:val="00D45E75"/>
    <w:rsid w:val="00D470E1"/>
    <w:rsid w:val="00D474C7"/>
    <w:rsid w:val="00D47E33"/>
    <w:rsid w:val="00D50A3D"/>
    <w:rsid w:val="00D50B75"/>
    <w:rsid w:val="00D50B7E"/>
    <w:rsid w:val="00D51185"/>
    <w:rsid w:val="00D516D1"/>
    <w:rsid w:val="00D51D75"/>
    <w:rsid w:val="00D51FEC"/>
    <w:rsid w:val="00D52691"/>
    <w:rsid w:val="00D527EE"/>
    <w:rsid w:val="00D52A80"/>
    <w:rsid w:val="00D53678"/>
    <w:rsid w:val="00D55768"/>
    <w:rsid w:val="00D55AEC"/>
    <w:rsid w:val="00D56335"/>
    <w:rsid w:val="00D56985"/>
    <w:rsid w:val="00D57625"/>
    <w:rsid w:val="00D57ECE"/>
    <w:rsid w:val="00D61F18"/>
    <w:rsid w:val="00D621A9"/>
    <w:rsid w:val="00D63A2F"/>
    <w:rsid w:val="00D63A67"/>
    <w:rsid w:val="00D63CA2"/>
    <w:rsid w:val="00D64443"/>
    <w:rsid w:val="00D6485C"/>
    <w:rsid w:val="00D64C47"/>
    <w:rsid w:val="00D64EFD"/>
    <w:rsid w:val="00D67ECC"/>
    <w:rsid w:val="00D67ECD"/>
    <w:rsid w:val="00D701BB"/>
    <w:rsid w:val="00D709A3"/>
    <w:rsid w:val="00D718B1"/>
    <w:rsid w:val="00D729E6"/>
    <w:rsid w:val="00D74FE5"/>
    <w:rsid w:val="00D754D1"/>
    <w:rsid w:val="00D75A85"/>
    <w:rsid w:val="00D75ECC"/>
    <w:rsid w:val="00D76381"/>
    <w:rsid w:val="00D76C56"/>
    <w:rsid w:val="00D80188"/>
    <w:rsid w:val="00D80738"/>
    <w:rsid w:val="00D81BFB"/>
    <w:rsid w:val="00D82C69"/>
    <w:rsid w:val="00D8449A"/>
    <w:rsid w:val="00D84ADD"/>
    <w:rsid w:val="00D85DBE"/>
    <w:rsid w:val="00D85F2A"/>
    <w:rsid w:val="00D900E5"/>
    <w:rsid w:val="00D905F9"/>
    <w:rsid w:val="00D90871"/>
    <w:rsid w:val="00D90DF1"/>
    <w:rsid w:val="00D90FED"/>
    <w:rsid w:val="00D91489"/>
    <w:rsid w:val="00D91673"/>
    <w:rsid w:val="00D92863"/>
    <w:rsid w:val="00D930DC"/>
    <w:rsid w:val="00D947D1"/>
    <w:rsid w:val="00D95453"/>
    <w:rsid w:val="00D95D73"/>
    <w:rsid w:val="00D95F0D"/>
    <w:rsid w:val="00D970C7"/>
    <w:rsid w:val="00DA013B"/>
    <w:rsid w:val="00DA0904"/>
    <w:rsid w:val="00DA0B47"/>
    <w:rsid w:val="00DA2A9E"/>
    <w:rsid w:val="00DA3638"/>
    <w:rsid w:val="00DA3D76"/>
    <w:rsid w:val="00DA4B96"/>
    <w:rsid w:val="00DA5FCD"/>
    <w:rsid w:val="00DA637D"/>
    <w:rsid w:val="00DA67DE"/>
    <w:rsid w:val="00DA6C56"/>
    <w:rsid w:val="00DA6CAC"/>
    <w:rsid w:val="00DA6D17"/>
    <w:rsid w:val="00DB0037"/>
    <w:rsid w:val="00DB28F1"/>
    <w:rsid w:val="00DB2DD4"/>
    <w:rsid w:val="00DB369D"/>
    <w:rsid w:val="00DB3A0B"/>
    <w:rsid w:val="00DB3EB9"/>
    <w:rsid w:val="00DB4062"/>
    <w:rsid w:val="00DB4993"/>
    <w:rsid w:val="00DB4D16"/>
    <w:rsid w:val="00DB5099"/>
    <w:rsid w:val="00DB558A"/>
    <w:rsid w:val="00DB5A92"/>
    <w:rsid w:val="00DB6205"/>
    <w:rsid w:val="00DB659B"/>
    <w:rsid w:val="00DB67E8"/>
    <w:rsid w:val="00DB69F4"/>
    <w:rsid w:val="00DB6E01"/>
    <w:rsid w:val="00DB7493"/>
    <w:rsid w:val="00DC0054"/>
    <w:rsid w:val="00DC0242"/>
    <w:rsid w:val="00DC1F89"/>
    <w:rsid w:val="00DC212B"/>
    <w:rsid w:val="00DC266D"/>
    <w:rsid w:val="00DC2AB1"/>
    <w:rsid w:val="00DC3204"/>
    <w:rsid w:val="00DC3262"/>
    <w:rsid w:val="00DC33CA"/>
    <w:rsid w:val="00DC44F8"/>
    <w:rsid w:val="00DC589A"/>
    <w:rsid w:val="00DC738B"/>
    <w:rsid w:val="00DC76B8"/>
    <w:rsid w:val="00DD09DA"/>
    <w:rsid w:val="00DD0AC2"/>
    <w:rsid w:val="00DD0C78"/>
    <w:rsid w:val="00DD3ADF"/>
    <w:rsid w:val="00DD49A0"/>
    <w:rsid w:val="00DD4AF7"/>
    <w:rsid w:val="00DD6885"/>
    <w:rsid w:val="00DD7AF7"/>
    <w:rsid w:val="00DD7DF8"/>
    <w:rsid w:val="00DE0B46"/>
    <w:rsid w:val="00DE19C0"/>
    <w:rsid w:val="00DE1A47"/>
    <w:rsid w:val="00DE1D40"/>
    <w:rsid w:val="00DE2867"/>
    <w:rsid w:val="00DE3A51"/>
    <w:rsid w:val="00DE3D0B"/>
    <w:rsid w:val="00DE4214"/>
    <w:rsid w:val="00DE4FEE"/>
    <w:rsid w:val="00DE53AB"/>
    <w:rsid w:val="00DE5EC7"/>
    <w:rsid w:val="00DE67C0"/>
    <w:rsid w:val="00DE6FAE"/>
    <w:rsid w:val="00DE7B14"/>
    <w:rsid w:val="00DE7FA3"/>
    <w:rsid w:val="00DF0664"/>
    <w:rsid w:val="00DF084E"/>
    <w:rsid w:val="00DF1F5F"/>
    <w:rsid w:val="00DF40F0"/>
    <w:rsid w:val="00DF4DE9"/>
    <w:rsid w:val="00DF50C0"/>
    <w:rsid w:val="00DF535B"/>
    <w:rsid w:val="00DF5793"/>
    <w:rsid w:val="00DF57A6"/>
    <w:rsid w:val="00DF618B"/>
    <w:rsid w:val="00DF74A1"/>
    <w:rsid w:val="00DF7AFE"/>
    <w:rsid w:val="00DF7E10"/>
    <w:rsid w:val="00E000C6"/>
    <w:rsid w:val="00E014F1"/>
    <w:rsid w:val="00E01759"/>
    <w:rsid w:val="00E02316"/>
    <w:rsid w:val="00E02985"/>
    <w:rsid w:val="00E03CDD"/>
    <w:rsid w:val="00E04C7A"/>
    <w:rsid w:val="00E04F6C"/>
    <w:rsid w:val="00E05024"/>
    <w:rsid w:val="00E050CF"/>
    <w:rsid w:val="00E066AA"/>
    <w:rsid w:val="00E067F6"/>
    <w:rsid w:val="00E06BF9"/>
    <w:rsid w:val="00E0728D"/>
    <w:rsid w:val="00E07953"/>
    <w:rsid w:val="00E10189"/>
    <w:rsid w:val="00E12830"/>
    <w:rsid w:val="00E12BC6"/>
    <w:rsid w:val="00E12F15"/>
    <w:rsid w:val="00E133BC"/>
    <w:rsid w:val="00E136FB"/>
    <w:rsid w:val="00E13AF9"/>
    <w:rsid w:val="00E13D1F"/>
    <w:rsid w:val="00E14F71"/>
    <w:rsid w:val="00E154E7"/>
    <w:rsid w:val="00E15ACD"/>
    <w:rsid w:val="00E1601F"/>
    <w:rsid w:val="00E165AA"/>
    <w:rsid w:val="00E16606"/>
    <w:rsid w:val="00E16A48"/>
    <w:rsid w:val="00E16C12"/>
    <w:rsid w:val="00E16E2E"/>
    <w:rsid w:val="00E17408"/>
    <w:rsid w:val="00E17CEF"/>
    <w:rsid w:val="00E17D8F"/>
    <w:rsid w:val="00E17EB7"/>
    <w:rsid w:val="00E20481"/>
    <w:rsid w:val="00E2083A"/>
    <w:rsid w:val="00E21335"/>
    <w:rsid w:val="00E21844"/>
    <w:rsid w:val="00E2185B"/>
    <w:rsid w:val="00E21F5C"/>
    <w:rsid w:val="00E224A3"/>
    <w:rsid w:val="00E23470"/>
    <w:rsid w:val="00E23A34"/>
    <w:rsid w:val="00E24080"/>
    <w:rsid w:val="00E244F5"/>
    <w:rsid w:val="00E24C02"/>
    <w:rsid w:val="00E25281"/>
    <w:rsid w:val="00E259FD"/>
    <w:rsid w:val="00E26C9E"/>
    <w:rsid w:val="00E27922"/>
    <w:rsid w:val="00E279E5"/>
    <w:rsid w:val="00E30215"/>
    <w:rsid w:val="00E306A7"/>
    <w:rsid w:val="00E307F1"/>
    <w:rsid w:val="00E30FE3"/>
    <w:rsid w:val="00E32109"/>
    <w:rsid w:val="00E33227"/>
    <w:rsid w:val="00E334B2"/>
    <w:rsid w:val="00E335A2"/>
    <w:rsid w:val="00E336AB"/>
    <w:rsid w:val="00E338FB"/>
    <w:rsid w:val="00E33AEE"/>
    <w:rsid w:val="00E33E8A"/>
    <w:rsid w:val="00E3408E"/>
    <w:rsid w:val="00E3414E"/>
    <w:rsid w:val="00E352C5"/>
    <w:rsid w:val="00E35658"/>
    <w:rsid w:val="00E356BD"/>
    <w:rsid w:val="00E35CF9"/>
    <w:rsid w:val="00E36A3D"/>
    <w:rsid w:val="00E3761B"/>
    <w:rsid w:val="00E37658"/>
    <w:rsid w:val="00E379B3"/>
    <w:rsid w:val="00E37C90"/>
    <w:rsid w:val="00E4091B"/>
    <w:rsid w:val="00E411FA"/>
    <w:rsid w:val="00E41A49"/>
    <w:rsid w:val="00E41C38"/>
    <w:rsid w:val="00E41DD9"/>
    <w:rsid w:val="00E450C1"/>
    <w:rsid w:val="00E456A6"/>
    <w:rsid w:val="00E468CA"/>
    <w:rsid w:val="00E47116"/>
    <w:rsid w:val="00E51D75"/>
    <w:rsid w:val="00E52C9C"/>
    <w:rsid w:val="00E53365"/>
    <w:rsid w:val="00E53C72"/>
    <w:rsid w:val="00E55C6B"/>
    <w:rsid w:val="00E55E22"/>
    <w:rsid w:val="00E56724"/>
    <w:rsid w:val="00E56984"/>
    <w:rsid w:val="00E60CAD"/>
    <w:rsid w:val="00E61125"/>
    <w:rsid w:val="00E6287B"/>
    <w:rsid w:val="00E6288B"/>
    <w:rsid w:val="00E62D25"/>
    <w:rsid w:val="00E637B1"/>
    <w:rsid w:val="00E63E24"/>
    <w:rsid w:val="00E63EC2"/>
    <w:rsid w:val="00E640F9"/>
    <w:rsid w:val="00E65AC2"/>
    <w:rsid w:val="00E66DEA"/>
    <w:rsid w:val="00E6797E"/>
    <w:rsid w:val="00E67A7D"/>
    <w:rsid w:val="00E67C94"/>
    <w:rsid w:val="00E67D95"/>
    <w:rsid w:val="00E702FB"/>
    <w:rsid w:val="00E71554"/>
    <w:rsid w:val="00E718B6"/>
    <w:rsid w:val="00E71F69"/>
    <w:rsid w:val="00E72334"/>
    <w:rsid w:val="00E72F79"/>
    <w:rsid w:val="00E73013"/>
    <w:rsid w:val="00E7372E"/>
    <w:rsid w:val="00E74084"/>
    <w:rsid w:val="00E740C8"/>
    <w:rsid w:val="00E74131"/>
    <w:rsid w:val="00E74867"/>
    <w:rsid w:val="00E75970"/>
    <w:rsid w:val="00E76B48"/>
    <w:rsid w:val="00E76BC4"/>
    <w:rsid w:val="00E76FDE"/>
    <w:rsid w:val="00E770CB"/>
    <w:rsid w:val="00E80EA7"/>
    <w:rsid w:val="00E810E0"/>
    <w:rsid w:val="00E81C49"/>
    <w:rsid w:val="00E81E9A"/>
    <w:rsid w:val="00E833D2"/>
    <w:rsid w:val="00E8386B"/>
    <w:rsid w:val="00E84226"/>
    <w:rsid w:val="00E854EA"/>
    <w:rsid w:val="00E85EBA"/>
    <w:rsid w:val="00E860C3"/>
    <w:rsid w:val="00E8648B"/>
    <w:rsid w:val="00E86956"/>
    <w:rsid w:val="00E86DF5"/>
    <w:rsid w:val="00E86EC7"/>
    <w:rsid w:val="00E872C0"/>
    <w:rsid w:val="00E91755"/>
    <w:rsid w:val="00E91965"/>
    <w:rsid w:val="00E93A3E"/>
    <w:rsid w:val="00E94367"/>
    <w:rsid w:val="00E94748"/>
    <w:rsid w:val="00E94D57"/>
    <w:rsid w:val="00E95E93"/>
    <w:rsid w:val="00E96627"/>
    <w:rsid w:val="00E97C0A"/>
    <w:rsid w:val="00EA0014"/>
    <w:rsid w:val="00EA0AFC"/>
    <w:rsid w:val="00EA0E1B"/>
    <w:rsid w:val="00EA2103"/>
    <w:rsid w:val="00EA354F"/>
    <w:rsid w:val="00EA39F6"/>
    <w:rsid w:val="00EA3D72"/>
    <w:rsid w:val="00EA447A"/>
    <w:rsid w:val="00EA45C1"/>
    <w:rsid w:val="00EA477D"/>
    <w:rsid w:val="00EA5C3D"/>
    <w:rsid w:val="00EA5FDE"/>
    <w:rsid w:val="00EB1768"/>
    <w:rsid w:val="00EB2EA8"/>
    <w:rsid w:val="00EB373D"/>
    <w:rsid w:val="00EB4496"/>
    <w:rsid w:val="00EB48AD"/>
    <w:rsid w:val="00EB4DD6"/>
    <w:rsid w:val="00EB63EE"/>
    <w:rsid w:val="00EB69A2"/>
    <w:rsid w:val="00EB7C9C"/>
    <w:rsid w:val="00EB7F75"/>
    <w:rsid w:val="00EC125B"/>
    <w:rsid w:val="00EC1953"/>
    <w:rsid w:val="00EC1BFA"/>
    <w:rsid w:val="00EC1EDD"/>
    <w:rsid w:val="00EC2DC0"/>
    <w:rsid w:val="00EC3CBA"/>
    <w:rsid w:val="00EC3E02"/>
    <w:rsid w:val="00EC5320"/>
    <w:rsid w:val="00EC5880"/>
    <w:rsid w:val="00EC5C54"/>
    <w:rsid w:val="00EC5C60"/>
    <w:rsid w:val="00EC665D"/>
    <w:rsid w:val="00EC6AD3"/>
    <w:rsid w:val="00EC6D3C"/>
    <w:rsid w:val="00EC7230"/>
    <w:rsid w:val="00ED0C2C"/>
    <w:rsid w:val="00ED1BAF"/>
    <w:rsid w:val="00ED2A24"/>
    <w:rsid w:val="00ED2A35"/>
    <w:rsid w:val="00ED38C4"/>
    <w:rsid w:val="00ED3D46"/>
    <w:rsid w:val="00ED3F70"/>
    <w:rsid w:val="00ED4D51"/>
    <w:rsid w:val="00ED5901"/>
    <w:rsid w:val="00ED6FE1"/>
    <w:rsid w:val="00ED73D7"/>
    <w:rsid w:val="00ED7F5F"/>
    <w:rsid w:val="00EE0491"/>
    <w:rsid w:val="00EE0A22"/>
    <w:rsid w:val="00EE21A3"/>
    <w:rsid w:val="00EE321C"/>
    <w:rsid w:val="00EE58B3"/>
    <w:rsid w:val="00EE6146"/>
    <w:rsid w:val="00EE76F2"/>
    <w:rsid w:val="00EE7FBB"/>
    <w:rsid w:val="00EF08FC"/>
    <w:rsid w:val="00EF0D15"/>
    <w:rsid w:val="00EF16A7"/>
    <w:rsid w:val="00EF279F"/>
    <w:rsid w:val="00EF476C"/>
    <w:rsid w:val="00EF4BAD"/>
    <w:rsid w:val="00EF4E62"/>
    <w:rsid w:val="00EF5783"/>
    <w:rsid w:val="00EF66AA"/>
    <w:rsid w:val="00EF6C8F"/>
    <w:rsid w:val="00F00939"/>
    <w:rsid w:val="00F01C9E"/>
    <w:rsid w:val="00F022D3"/>
    <w:rsid w:val="00F02390"/>
    <w:rsid w:val="00F03D06"/>
    <w:rsid w:val="00F0405D"/>
    <w:rsid w:val="00F0439F"/>
    <w:rsid w:val="00F04636"/>
    <w:rsid w:val="00F04A5E"/>
    <w:rsid w:val="00F05531"/>
    <w:rsid w:val="00F059F4"/>
    <w:rsid w:val="00F05C8A"/>
    <w:rsid w:val="00F063DE"/>
    <w:rsid w:val="00F06724"/>
    <w:rsid w:val="00F100C4"/>
    <w:rsid w:val="00F1031D"/>
    <w:rsid w:val="00F104D8"/>
    <w:rsid w:val="00F105FA"/>
    <w:rsid w:val="00F10CAB"/>
    <w:rsid w:val="00F11201"/>
    <w:rsid w:val="00F116A4"/>
    <w:rsid w:val="00F11744"/>
    <w:rsid w:val="00F11B9E"/>
    <w:rsid w:val="00F1211F"/>
    <w:rsid w:val="00F1252B"/>
    <w:rsid w:val="00F1312C"/>
    <w:rsid w:val="00F1394B"/>
    <w:rsid w:val="00F13DFC"/>
    <w:rsid w:val="00F13FDB"/>
    <w:rsid w:val="00F144A7"/>
    <w:rsid w:val="00F14A71"/>
    <w:rsid w:val="00F14F53"/>
    <w:rsid w:val="00F150A3"/>
    <w:rsid w:val="00F157DF"/>
    <w:rsid w:val="00F1695D"/>
    <w:rsid w:val="00F169D6"/>
    <w:rsid w:val="00F1703E"/>
    <w:rsid w:val="00F17172"/>
    <w:rsid w:val="00F17434"/>
    <w:rsid w:val="00F20393"/>
    <w:rsid w:val="00F2052C"/>
    <w:rsid w:val="00F21868"/>
    <w:rsid w:val="00F21F11"/>
    <w:rsid w:val="00F250FF"/>
    <w:rsid w:val="00F253C2"/>
    <w:rsid w:val="00F25559"/>
    <w:rsid w:val="00F256E8"/>
    <w:rsid w:val="00F302C6"/>
    <w:rsid w:val="00F30D60"/>
    <w:rsid w:val="00F311D5"/>
    <w:rsid w:val="00F31A54"/>
    <w:rsid w:val="00F31F65"/>
    <w:rsid w:val="00F32408"/>
    <w:rsid w:val="00F32738"/>
    <w:rsid w:val="00F3279B"/>
    <w:rsid w:val="00F3401F"/>
    <w:rsid w:val="00F35781"/>
    <w:rsid w:val="00F35CBC"/>
    <w:rsid w:val="00F378CA"/>
    <w:rsid w:val="00F37AB3"/>
    <w:rsid w:val="00F40FBF"/>
    <w:rsid w:val="00F432DE"/>
    <w:rsid w:val="00F46465"/>
    <w:rsid w:val="00F46B0C"/>
    <w:rsid w:val="00F473EA"/>
    <w:rsid w:val="00F4748B"/>
    <w:rsid w:val="00F47687"/>
    <w:rsid w:val="00F500A1"/>
    <w:rsid w:val="00F5067A"/>
    <w:rsid w:val="00F50C65"/>
    <w:rsid w:val="00F50EB5"/>
    <w:rsid w:val="00F515BC"/>
    <w:rsid w:val="00F51E53"/>
    <w:rsid w:val="00F52F6A"/>
    <w:rsid w:val="00F52FAF"/>
    <w:rsid w:val="00F53265"/>
    <w:rsid w:val="00F53CC4"/>
    <w:rsid w:val="00F56069"/>
    <w:rsid w:val="00F561EE"/>
    <w:rsid w:val="00F563DE"/>
    <w:rsid w:val="00F56B7E"/>
    <w:rsid w:val="00F56C6B"/>
    <w:rsid w:val="00F57548"/>
    <w:rsid w:val="00F57CAD"/>
    <w:rsid w:val="00F60C78"/>
    <w:rsid w:val="00F629C9"/>
    <w:rsid w:val="00F656EE"/>
    <w:rsid w:val="00F65E70"/>
    <w:rsid w:val="00F66109"/>
    <w:rsid w:val="00F66F69"/>
    <w:rsid w:val="00F67298"/>
    <w:rsid w:val="00F702A4"/>
    <w:rsid w:val="00F70665"/>
    <w:rsid w:val="00F710F5"/>
    <w:rsid w:val="00F71272"/>
    <w:rsid w:val="00F71387"/>
    <w:rsid w:val="00F7161F"/>
    <w:rsid w:val="00F7196F"/>
    <w:rsid w:val="00F71CE3"/>
    <w:rsid w:val="00F72539"/>
    <w:rsid w:val="00F736C1"/>
    <w:rsid w:val="00F745B3"/>
    <w:rsid w:val="00F74D32"/>
    <w:rsid w:val="00F75748"/>
    <w:rsid w:val="00F75BB4"/>
    <w:rsid w:val="00F76E66"/>
    <w:rsid w:val="00F77C05"/>
    <w:rsid w:val="00F77F9F"/>
    <w:rsid w:val="00F80393"/>
    <w:rsid w:val="00F809E1"/>
    <w:rsid w:val="00F813B0"/>
    <w:rsid w:val="00F81514"/>
    <w:rsid w:val="00F82292"/>
    <w:rsid w:val="00F8256D"/>
    <w:rsid w:val="00F82615"/>
    <w:rsid w:val="00F8439B"/>
    <w:rsid w:val="00F84785"/>
    <w:rsid w:val="00F84E3A"/>
    <w:rsid w:val="00F85652"/>
    <w:rsid w:val="00F8641B"/>
    <w:rsid w:val="00F87707"/>
    <w:rsid w:val="00F91E2E"/>
    <w:rsid w:val="00F92500"/>
    <w:rsid w:val="00F9359F"/>
    <w:rsid w:val="00F94008"/>
    <w:rsid w:val="00F940FE"/>
    <w:rsid w:val="00F9462C"/>
    <w:rsid w:val="00F954E4"/>
    <w:rsid w:val="00F95DE4"/>
    <w:rsid w:val="00F96D96"/>
    <w:rsid w:val="00F979B5"/>
    <w:rsid w:val="00FA06AF"/>
    <w:rsid w:val="00FA0EF0"/>
    <w:rsid w:val="00FA12A3"/>
    <w:rsid w:val="00FA1F2E"/>
    <w:rsid w:val="00FA2AAE"/>
    <w:rsid w:val="00FA2F96"/>
    <w:rsid w:val="00FA3847"/>
    <w:rsid w:val="00FA3CD9"/>
    <w:rsid w:val="00FA3E45"/>
    <w:rsid w:val="00FA4123"/>
    <w:rsid w:val="00FA44B3"/>
    <w:rsid w:val="00FA5309"/>
    <w:rsid w:val="00FA59C8"/>
    <w:rsid w:val="00FA5E22"/>
    <w:rsid w:val="00FA6CF5"/>
    <w:rsid w:val="00FB0EF1"/>
    <w:rsid w:val="00FB1093"/>
    <w:rsid w:val="00FB1187"/>
    <w:rsid w:val="00FB1906"/>
    <w:rsid w:val="00FB19B7"/>
    <w:rsid w:val="00FB1AA7"/>
    <w:rsid w:val="00FB2D46"/>
    <w:rsid w:val="00FB30A3"/>
    <w:rsid w:val="00FB3478"/>
    <w:rsid w:val="00FB3756"/>
    <w:rsid w:val="00FB46BC"/>
    <w:rsid w:val="00FB4877"/>
    <w:rsid w:val="00FB6BC6"/>
    <w:rsid w:val="00FB7867"/>
    <w:rsid w:val="00FC0069"/>
    <w:rsid w:val="00FC1B80"/>
    <w:rsid w:val="00FC23CF"/>
    <w:rsid w:val="00FC2454"/>
    <w:rsid w:val="00FC2B2F"/>
    <w:rsid w:val="00FC48AE"/>
    <w:rsid w:val="00FC4CFE"/>
    <w:rsid w:val="00FC5380"/>
    <w:rsid w:val="00FC6149"/>
    <w:rsid w:val="00FC6A5F"/>
    <w:rsid w:val="00FC7F09"/>
    <w:rsid w:val="00FC7F61"/>
    <w:rsid w:val="00FD282C"/>
    <w:rsid w:val="00FD2CE3"/>
    <w:rsid w:val="00FD318D"/>
    <w:rsid w:val="00FD3858"/>
    <w:rsid w:val="00FD3B85"/>
    <w:rsid w:val="00FD4750"/>
    <w:rsid w:val="00FD6180"/>
    <w:rsid w:val="00FD6748"/>
    <w:rsid w:val="00FD6970"/>
    <w:rsid w:val="00FD7312"/>
    <w:rsid w:val="00FD7E50"/>
    <w:rsid w:val="00FE0345"/>
    <w:rsid w:val="00FE1212"/>
    <w:rsid w:val="00FE1326"/>
    <w:rsid w:val="00FE169A"/>
    <w:rsid w:val="00FE2A42"/>
    <w:rsid w:val="00FE3F2A"/>
    <w:rsid w:val="00FE3FA1"/>
    <w:rsid w:val="00FE4175"/>
    <w:rsid w:val="00FE54C3"/>
    <w:rsid w:val="00FE6004"/>
    <w:rsid w:val="00FE6B1A"/>
    <w:rsid w:val="00FE7015"/>
    <w:rsid w:val="00FE7BE7"/>
    <w:rsid w:val="00FF095E"/>
    <w:rsid w:val="00FF1E24"/>
    <w:rsid w:val="00FF2201"/>
    <w:rsid w:val="00FF273E"/>
    <w:rsid w:val="00FF2E47"/>
    <w:rsid w:val="00FF328E"/>
    <w:rsid w:val="00FF3EB9"/>
    <w:rsid w:val="00FF417E"/>
    <w:rsid w:val="00FF4255"/>
    <w:rsid w:val="00FF4E9E"/>
    <w:rsid w:val="00FF5057"/>
    <w:rsid w:val="00FF57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1A"/>
    <w:pPr>
      <w:spacing w:after="105" w:line="360" w:lineRule="atLeast"/>
      <w:jc w:val="both"/>
    </w:pPr>
    <w:rPr>
      <w:sz w:val="24"/>
      <w:szCs w:val="24"/>
      <w:lang w:eastAsia="en-US"/>
    </w:rPr>
  </w:style>
  <w:style w:type="paragraph" w:styleId="Heading1">
    <w:name w:val="heading 1"/>
    <w:basedOn w:val="Normal"/>
    <w:next w:val="Normal"/>
    <w:link w:val="Heading1Char"/>
    <w:qFormat/>
    <w:rsid w:val="00257E82"/>
    <w:pPr>
      <w:keepNext/>
      <w:keepLines/>
      <w:spacing w:before="480"/>
      <w:outlineLvl w:val="0"/>
    </w:pPr>
    <w:rPr>
      <w:rFonts w:ascii="Cambria" w:hAnsi="Cambria"/>
      <w:b/>
      <w:bCs/>
      <w:color w:val="365F91"/>
      <w:sz w:val="28"/>
      <w:szCs w:val="28"/>
      <w:lang/>
    </w:rPr>
  </w:style>
  <w:style w:type="paragraph" w:styleId="Heading6">
    <w:name w:val="heading 6"/>
    <w:basedOn w:val="Normal"/>
    <w:next w:val="Normal"/>
    <w:link w:val="Heading6Char"/>
    <w:semiHidden/>
    <w:unhideWhenUsed/>
    <w:qFormat/>
    <w:rsid w:val="007C5594"/>
    <w:pPr>
      <w:spacing w:before="240" w:after="60"/>
      <w:outlineLvl w:val="5"/>
    </w:pPr>
    <w:rPr>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106"/>
    <w:pPr>
      <w:tabs>
        <w:tab w:val="center" w:pos="4680"/>
        <w:tab w:val="right" w:pos="9360"/>
      </w:tabs>
    </w:pPr>
    <w:rPr>
      <w:lang/>
    </w:rPr>
  </w:style>
  <w:style w:type="character" w:customStyle="1" w:styleId="HeaderChar">
    <w:name w:val="Header Char"/>
    <w:link w:val="Header"/>
    <w:uiPriority w:val="99"/>
    <w:rsid w:val="00A25106"/>
    <w:rPr>
      <w:sz w:val="24"/>
      <w:szCs w:val="24"/>
    </w:rPr>
  </w:style>
  <w:style w:type="paragraph" w:styleId="Footer">
    <w:name w:val="footer"/>
    <w:basedOn w:val="Normal"/>
    <w:link w:val="FooterChar"/>
    <w:uiPriority w:val="99"/>
    <w:rsid w:val="00A25106"/>
    <w:pPr>
      <w:tabs>
        <w:tab w:val="center" w:pos="4680"/>
        <w:tab w:val="right" w:pos="9360"/>
      </w:tabs>
    </w:pPr>
    <w:rPr>
      <w:lang/>
    </w:rPr>
  </w:style>
  <w:style w:type="character" w:customStyle="1" w:styleId="FooterChar">
    <w:name w:val="Footer Char"/>
    <w:link w:val="Footer"/>
    <w:uiPriority w:val="99"/>
    <w:rsid w:val="00A25106"/>
    <w:rPr>
      <w:sz w:val="24"/>
      <w:szCs w:val="24"/>
    </w:rPr>
  </w:style>
  <w:style w:type="paragraph" w:styleId="BalloonText">
    <w:name w:val="Balloon Text"/>
    <w:basedOn w:val="Normal"/>
    <w:link w:val="BalloonTextChar"/>
    <w:rsid w:val="00A25106"/>
    <w:rPr>
      <w:rFonts w:ascii="Tahoma" w:hAnsi="Tahoma"/>
      <w:sz w:val="16"/>
      <w:szCs w:val="16"/>
      <w:lang/>
    </w:rPr>
  </w:style>
  <w:style w:type="character" w:customStyle="1" w:styleId="BalloonTextChar">
    <w:name w:val="Balloon Text Char"/>
    <w:link w:val="BalloonText"/>
    <w:rsid w:val="00A25106"/>
    <w:rPr>
      <w:rFonts w:ascii="Tahoma" w:hAnsi="Tahoma" w:cs="Tahoma"/>
      <w:sz w:val="16"/>
      <w:szCs w:val="16"/>
    </w:rPr>
  </w:style>
  <w:style w:type="character" w:customStyle="1" w:styleId="Heading1Char">
    <w:name w:val="Heading 1 Char"/>
    <w:link w:val="Heading1"/>
    <w:rsid w:val="00257E82"/>
    <w:rPr>
      <w:rFonts w:ascii="Cambria" w:eastAsia="Times New Roman" w:hAnsi="Cambria" w:cs="Times New Roman"/>
      <w:b/>
      <w:bCs/>
      <w:color w:val="365F91"/>
      <w:sz w:val="28"/>
      <w:szCs w:val="28"/>
    </w:rPr>
  </w:style>
  <w:style w:type="paragraph" w:styleId="NoSpacing">
    <w:name w:val="No Spacing"/>
    <w:link w:val="NoSpacingChar"/>
    <w:uiPriority w:val="1"/>
    <w:qFormat/>
    <w:rsid w:val="00FC0069"/>
    <w:pPr>
      <w:spacing w:after="105" w:line="360" w:lineRule="atLeast"/>
      <w:jc w:val="both"/>
    </w:pPr>
    <w:rPr>
      <w:sz w:val="22"/>
      <w:szCs w:val="22"/>
      <w:lang w:val="en-US" w:eastAsia="en-US"/>
    </w:rPr>
  </w:style>
  <w:style w:type="character" w:customStyle="1" w:styleId="NoSpacingChar">
    <w:name w:val="No Spacing Char"/>
    <w:link w:val="NoSpacing"/>
    <w:uiPriority w:val="1"/>
    <w:rsid w:val="00FC0069"/>
    <w:rPr>
      <w:sz w:val="22"/>
      <w:szCs w:val="22"/>
      <w:lang w:val="en-US" w:eastAsia="en-US" w:bidi="ar-SA"/>
    </w:rPr>
  </w:style>
  <w:style w:type="character" w:customStyle="1" w:styleId="Heading6Char">
    <w:name w:val="Heading 6 Char"/>
    <w:link w:val="Heading6"/>
    <w:semiHidden/>
    <w:rsid w:val="007C5594"/>
    <w:rPr>
      <w:rFonts w:ascii="Calibri" w:hAnsi="Calibri"/>
      <w:b/>
      <w:bCs/>
      <w:sz w:val="22"/>
      <w:szCs w:val="22"/>
    </w:rPr>
  </w:style>
  <w:style w:type="character" w:styleId="Hyperlink">
    <w:name w:val="Hyperlink"/>
    <w:rsid w:val="007C5594"/>
    <w:rPr>
      <w:color w:val="0000FF"/>
      <w:u w:val="single"/>
    </w:rPr>
  </w:style>
  <w:style w:type="paragraph" w:styleId="ListParagraph">
    <w:name w:val="List Paragraph"/>
    <w:basedOn w:val="Normal"/>
    <w:uiPriority w:val="34"/>
    <w:qFormat/>
    <w:rsid w:val="00077AD9"/>
    <w:pPr>
      <w:ind w:left="720"/>
      <w:contextualSpacing/>
    </w:pPr>
    <w:rPr>
      <w:rFonts w:eastAsia="Calibri"/>
      <w:sz w:val="22"/>
      <w:szCs w:val="22"/>
      <w:lang w:val="en-US"/>
    </w:rPr>
  </w:style>
  <w:style w:type="paragraph" w:styleId="NormalWeb">
    <w:name w:val="Normal (Web)"/>
    <w:basedOn w:val="Normal"/>
    <w:uiPriority w:val="99"/>
    <w:unhideWhenUsed/>
    <w:rsid w:val="00EC7230"/>
    <w:pPr>
      <w:spacing w:before="100" w:beforeAutospacing="1" w:after="100" w:afterAutospacing="1"/>
    </w:pPr>
    <w:rPr>
      <w:rFonts w:ascii="Times New Roman" w:hAnsi="Times New Roman"/>
      <w:lang w:val="en-US"/>
    </w:rPr>
  </w:style>
  <w:style w:type="character" w:styleId="Strong">
    <w:name w:val="Strong"/>
    <w:uiPriority w:val="22"/>
    <w:qFormat/>
    <w:rsid w:val="00EC7230"/>
    <w:rPr>
      <w:b/>
      <w:bCs/>
    </w:rPr>
  </w:style>
  <w:style w:type="character" w:styleId="Emphasis">
    <w:name w:val="Emphasis"/>
    <w:uiPriority w:val="20"/>
    <w:qFormat/>
    <w:rsid w:val="00EC7230"/>
    <w:rPr>
      <w:i/>
      <w:iCs/>
    </w:rPr>
  </w:style>
</w:styles>
</file>

<file path=word/webSettings.xml><?xml version="1.0" encoding="utf-8"?>
<w:webSettings xmlns:r="http://schemas.openxmlformats.org/officeDocument/2006/relationships" xmlns:w="http://schemas.openxmlformats.org/wordprocessingml/2006/main">
  <w:divs>
    <w:div w:id="596788689">
      <w:bodyDiv w:val="1"/>
      <w:marLeft w:val="0"/>
      <w:marRight w:val="0"/>
      <w:marTop w:val="0"/>
      <w:marBottom w:val="0"/>
      <w:divBdr>
        <w:top w:val="none" w:sz="0" w:space="0" w:color="auto"/>
        <w:left w:val="none" w:sz="0" w:space="0" w:color="auto"/>
        <w:bottom w:val="none" w:sz="0" w:space="0" w:color="auto"/>
        <w:right w:val="none" w:sz="0" w:space="0" w:color="auto"/>
      </w:divBdr>
    </w:div>
    <w:div w:id="862132954">
      <w:bodyDiv w:val="1"/>
      <w:marLeft w:val="0"/>
      <w:marRight w:val="0"/>
      <w:marTop w:val="0"/>
      <w:marBottom w:val="0"/>
      <w:divBdr>
        <w:top w:val="none" w:sz="0" w:space="0" w:color="auto"/>
        <w:left w:val="none" w:sz="0" w:space="0" w:color="auto"/>
        <w:bottom w:val="none" w:sz="0" w:space="0" w:color="auto"/>
        <w:right w:val="none" w:sz="0" w:space="0" w:color="auto"/>
      </w:divBdr>
    </w:div>
    <w:div w:id="19330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CDB5EF.AE382A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47BF-DA9C-41BC-9689-B69D2493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Links>
    <vt:vector size="6" baseType="variant">
      <vt:variant>
        <vt:i4>3735566</vt:i4>
      </vt:variant>
      <vt:variant>
        <vt:i4>8302</vt:i4>
      </vt:variant>
      <vt:variant>
        <vt:i4>1026</vt:i4>
      </vt:variant>
      <vt:variant>
        <vt:i4>1</vt:i4>
      </vt:variant>
      <vt:variant>
        <vt:lpwstr>cid:image001.png@01CDB5EF.AE382A20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dc:creator>
  <cp:keywords/>
  <cp:lastModifiedBy>Education</cp:lastModifiedBy>
  <cp:revision>2</cp:revision>
  <cp:lastPrinted>2012-12-12T17:43:00Z</cp:lastPrinted>
  <dcterms:created xsi:type="dcterms:W3CDTF">2013-10-23T18:22:00Z</dcterms:created>
  <dcterms:modified xsi:type="dcterms:W3CDTF">2013-10-23T18:22:00Z</dcterms:modified>
</cp:coreProperties>
</file>